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0" w:type="dxa"/>
        <w:tblInd w:w="-113" w:type="dxa"/>
        <w:tblLayout w:type="fixed"/>
        <w:tblCellMar>
          <w:left w:w="85" w:type="dxa"/>
          <w:right w:w="85" w:type="dxa"/>
        </w:tblCellMar>
        <w:tblLook w:val="0000" w:firstRow="0" w:lastRow="0" w:firstColumn="0" w:lastColumn="0" w:noHBand="0" w:noVBand="0"/>
      </w:tblPr>
      <w:tblGrid>
        <w:gridCol w:w="4026"/>
        <w:gridCol w:w="5614"/>
      </w:tblGrid>
      <w:tr w:rsidR="0096488C" w:rsidRPr="0096488C" w14:paraId="76D32487" w14:textId="77777777" w:rsidTr="00A2444B">
        <w:trPr>
          <w:cantSplit/>
          <w:trHeight w:val="735"/>
        </w:trPr>
        <w:tc>
          <w:tcPr>
            <w:tcW w:w="4026" w:type="dxa"/>
          </w:tcPr>
          <w:p w14:paraId="5890C38D" w14:textId="77777777" w:rsidR="002F5715" w:rsidRPr="0096488C" w:rsidRDefault="00A2444B" w:rsidP="00CE1D7F">
            <w:pPr>
              <w:spacing w:before="60" w:after="60" w:line="240" w:lineRule="auto"/>
              <w:jc w:val="center"/>
              <w:rPr>
                <w:b/>
                <w:sz w:val="26"/>
                <w:szCs w:val="26"/>
                <w:lang w:val="nl-NL"/>
              </w:rPr>
            </w:pPr>
            <w:r w:rsidRPr="0096488C">
              <w:rPr>
                <w:b/>
                <w:noProof/>
                <w:sz w:val="26"/>
                <w:szCs w:val="26"/>
              </w:rPr>
              <mc:AlternateContent>
                <mc:Choice Requires="wps">
                  <w:drawing>
                    <wp:anchor distT="0" distB="0" distL="114300" distR="114300" simplePos="0" relativeHeight="251660288" behindDoc="0" locked="0" layoutInCell="1" allowOverlap="1" wp14:anchorId="7F851489" wp14:editId="2F71D677">
                      <wp:simplePos x="0" y="0"/>
                      <wp:positionH relativeFrom="column">
                        <wp:posOffset>835493</wp:posOffset>
                      </wp:positionH>
                      <wp:positionV relativeFrom="paragraph">
                        <wp:posOffset>304207</wp:posOffset>
                      </wp:positionV>
                      <wp:extent cx="75865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5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ADD7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8pt,23.95pt" to="125.5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" strokecolor="black [3200]" strokeweight=".5pt">
                      <v:stroke joinstyle="miter"/>
                    </v:line>
                  </w:pict>
                </mc:Fallback>
              </mc:AlternateContent>
            </w:r>
            <w:r w:rsidR="002F5715" w:rsidRPr="0096488C">
              <w:rPr>
                <w:b/>
                <w:sz w:val="26"/>
                <w:szCs w:val="26"/>
                <w:lang w:val="nl-NL"/>
              </w:rPr>
              <w:t>BỘ KẾ HOẠCH VÀ ĐẦU TƯ</w:t>
            </w:r>
          </w:p>
          <w:p w14:paraId="44AADD60" w14:textId="77777777" w:rsidR="002F5715" w:rsidRPr="0096488C" w:rsidRDefault="002F5715" w:rsidP="00CE1D7F">
            <w:pPr>
              <w:adjustRightInd w:val="0"/>
              <w:spacing w:before="60" w:after="60" w:line="240" w:lineRule="auto"/>
              <w:jc w:val="center"/>
              <w:rPr>
                <w:b/>
                <w:noProof/>
                <w:sz w:val="25"/>
                <w:szCs w:val="25"/>
                <w:lang w:val="nl-NL"/>
              </w:rPr>
            </w:pPr>
          </w:p>
        </w:tc>
        <w:tc>
          <w:tcPr>
            <w:tcW w:w="5614" w:type="dxa"/>
          </w:tcPr>
          <w:p w14:paraId="69FB8DF4" w14:textId="77777777" w:rsidR="002F5715" w:rsidRPr="0096488C" w:rsidRDefault="002F5715" w:rsidP="00CE1D7F">
            <w:pPr>
              <w:pStyle w:val="Heading3"/>
              <w:spacing w:before="60" w:after="60" w:line="240" w:lineRule="auto"/>
              <w:ind w:firstLine="0"/>
              <w:rPr>
                <w:sz w:val="26"/>
                <w:szCs w:val="26"/>
              </w:rPr>
            </w:pPr>
            <w:r w:rsidRPr="0096488C">
              <w:rPr>
                <w:sz w:val="26"/>
                <w:szCs w:val="26"/>
              </w:rPr>
              <w:t>CỘNG HÒA XÃ HỘI CHỦ NGHĨA VIỆT NAM</w:t>
            </w:r>
          </w:p>
          <w:p w14:paraId="7281C0EC" w14:textId="77777777" w:rsidR="002F5715" w:rsidRPr="0096488C" w:rsidRDefault="002F5715" w:rsidP="00CE1D7F">
            <w:pPr>
              <w:adjustRightInd w:val="0"/>
              <w:spacing w:before="60" w:after="60" w:line="240" w:lineRule="auto"/>
              <w:jc w:val="center"/>
              <w:rPr>
                <w:b/>
                <w:bCs/>
                <w:sz w:val="26"/>
                <w:szCs w:val="26"/>
                <w:lang w:val="nl-NL"/>
              </w:rPr>
            </w:pPr>
            <w:r w:rsidRPr="0096488C">
              <w:rPr>
                <w:b/>
                <w:bCs/>
                <w:noProof/>
                <w:sz w:val="25"/>
                <w:szCs w:val="25"/>
              </w:rPr>
              <mc:AlternateContent>
                <mc:Choice Requires="wps">
                  <w:drawing>
                    <wp:anchor distT="0" distB="0" distL="114300" distR="114300" simplePos="0" relativeHeight="251658240" behindDoc="0" locked="0" layoutInCell="1" allowOverlap="1" wp14:anchorId="3D3D4F19" wp14:editId="3860837A">
                      <wp:simplePos x="0" y="0"/>
                      <wp:positionH relativeFrom="column">
                        <wp:posOffset>693907</wp:posOffset>
                      </wp:positionH>
                      <wp:positionV relativeFrom="paragraph">
                        <wp:posOffset>211942</wp:posOffset>
                      </wp:positionV>
                      <wp:extent cx="20447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0589E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6.7pt" to="215.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" strokecolor="black [3200]" strokeweight=".5pt">
                      <v:stroke joinstyle="miter"/>
                    </v:line>
                  </w:pict>
                </mc:Fallback>
              </mc:AlternateContent>
            </w:r>
            <w:r w:rsidRPr="0096488C">
              <w:rPr>
                <w:b/>
                <w:bCs/>
                <w:sz w:val="26"/>
                <w:szCs w:val="26"/>
                <w:lang w:val="nl-NL"/>
              </w:rPr>
              <w:t>Độc lập - Tự do - Hạnh phúc</w:t>
            </w:r>
          </w:p>
        </w:tc>
      </w:tr>
      <w:tr w:rsidR="0096488C" w:rsidRPr="0096488C" w14:paraId="1729F056" w14:textId="77777777" w:rsidTr="00A2444B">
        <w:trPr>
          <w:cantSplit/>
        </w:trPr>
        <w:tc>
          <w:tcPr>
            <w:tcW w:w="4026" w:type="dxa"/>
          </w:tcPr>
          <w:p w14:paraId="1D2D468E" w14:textId="77777777" w:rsidR="002F5715" w:rsidRPr="0096488C" w:rsidRDefault="002F5715" w:rsidP="007E215F">
            <w:pPr>
              <w:pStyle w:val="Heading5"/>
            </w:pPr>
            <w:r w:rsidRPr="0096488C">
              <w:t>Số:        /TTr- BKHĐT</w:t>
            </w:r>
          </w:p>
          <w:p w14:paraId="0298125B" w14:textId="77777777" w:rsidR="002F5715" w:rsidRPr="0096488C" w:rsidRDefault="002F5715" w:rsidP="00CE1D7F">
            <w:pPr>
              <w:spacing w:before="60" w:after="60" w:line="240" w:lineRule="auto"/>
              <w:jc w:val="center"/>
              <w:rPr>
                <w:i/>
                <w:sz w:val="24"/>
                <w:szCs w:val="24"/>
                <w:lang w:val="nl-NL"/>
              </w:rPr>
            </w:pPr>
          </w:p>
        </w:tc>
        <w:tc>
          <w:tcPr>
            <w:tcW w:w="5614" w:type="dxa"/>
          </w:tcPr>
          <w:p w14:paraId="1F04D346" w14:textId="28F824E2" w:rsidR="002F5715" w:rsidRPr="0096488C" w:rsidRDefault="002F5715" w:rsidP="00CE1D7F">
            <w:pPr>
              <w:pStyle w:val="Heading4"/>
            </w:pPr>
            <w:r w:rsidRPr="0096488C">
              <w:t xml:space="preserve">Hà Nội, ngày      tháng </w:t>
            </w:r>
            <w:r w:rsidR="007F33DF">
              <w:t xml:space="preserve">      </w:t>
            </w:r>
            <w:r w:rsidR="00DF6546" w:rsidRPr="0096488C">
              <w:t>năm 202</w:t>
            </w:r>
            <w:r w:rsidR="003D7E2D" w:rsidRPr="0096488C">
              <w:t>4</w:t>
            </w:r>
          </w:p>
        </w:tc>
      </w:tr>
    </w:tbl>
    <w:p w14:paraId="3EF5DDCC" w14:textId="77777777" w:rsidR="002F5715" w:rsidRPr="0096488C" w:rsidRDefault="002F5715" w:rsidP="00CE1D7F">
      <w:pPr>
        <w:spacing w:before="60" w:after="60" w:line="240" w:lineRule="auto"/>
        <w:jc w:val="center"/>
        <w:rPr>
          <w:b/>
        </w:rPr>
      </w:pPr>
      <w:r w:rsidRPr="0096488C">
        <w:rPr>
          <w:b/>
        </w:rPr>
        <w:t>TỜ TRÌNH</w:t>
      </w:r>
    </w:p>
    <w:p w14:paraId="794AAAAE" w14:textId="0657B117" w:rsidR="002F5715" w:rsidRPr="0096488C" w:rsidRDefault="00CE1D7F" w:rsidP="00271C97">
      <w:pPr>
        <w:spacing w:before="60" w:after="60" w:line="240" w:lineRule="auto"/>
        <w:jc w:val="center"/>
      </w:pPr>
      <w:r w:rsidRPr="0096488C">
        <w:rPr>
          <w:b/>
        </w:rPr>
        <w:t>Dự thảo</w:t>
      </w:r>
      <w:r w:rsidR="003C0EE2" w:rsidRPr="0096488C">
        <w:rPr>
          <w:b/>
        </w:rPr>
        <w:t xml:space="preserve"> Nghị định </w:t>
      </w:r>
      <w:r w:rsidR="00694BD0" w:rsidRPr="0096488C">
        <w:rPr>
          <w:b/>
        </w:rPr>
        <w:t>quy định chi tiết một số điều</w:t>
      </w:r>
      <w:r w:rsidR="00271C97" w:rsidRPr="0096488C">
        <w:rPr>
          <w:b/>
        </w:rPr>
        <w:t xml:space="preserve"> </w:t>
      </w:r>
      <w:r w:rsidR="0073562A" w:rsidRPr="0096488C">
        <w:rPr>
          <w:b/>
        </w:rPr>
        <w:t>của</w:t>
      </w:r>
      <w:r w:rsidR="00694BD0" w:rsidRPr="0096488C">
        <w:rPr>
          <w:b/>
        </w:rPr>
        <w:t xml:space="preserve"> Luật Hợp tác xã</w:t>
      </w:r>
    </w:p>
    <w:p w14:paraId="4082D1AB" w14:textId="202B3D65" w:rsidR="002F5715" w:rsidRPr="0096488C" w:rsidRDefault="00FB37A1" w:rsidP="00CE1D7F">
      <w:pPr>
        <w:spacing w:before="60" w:after="60" w:line="240" w:lineRule="auto"/>
        <w:jc w:val="center"/>
        <w:rPr>
          <w:rFonts w:cs="Times New Roman"/>
          <w:bCs/>
          <w:i/>
          <w:iCs/>
          <w:szCs w:val="28"/>
        </w:rPr>
      </w:pPr>
      <w:r w:rsidRPr="0096488C">
        <w:rPr>
          <w:rFonts w:cs="Times New Roman"/>
          <w:bCs/>
          <w:i/>
          <w:iCs/>
          <w:szCs w:val="28"/>
        </w:rPr>
        <w:t>(gửi Bộ Tư pháp để thẩm định hồ sơ Dự thảo Nghị định)</w:t>
      </w:r>
    </w:p>
    <w:p w14:paraId="6FC0395F" w14:textId="35DEFF05" w:rsidR="00FB37A1" w:rsidRPr="0096488C" w:rsidRDefault="00FB37A1" w:rsidP="00CE1D7F">
      <w:pPr>
        <w:spacing w:before="60" w:after="60" w:line="240" w:lineRule="auto"/>
        <w:jc w:val="center"/>
      </w:pPr>
      <w:r w:rsidRPr="0096488C">
        <w:rPr>
          <w:rFonts w:cs="Times New Roman"/>
          <w:noProof/>
          <w:szCs w:val="28"/>
        </w:rPr>
        <mc:AlternateContent>
          <mc:Choice Requires="wps">
            <w:drawing>
              <wp:anchor distT="4294967294" distB="4294967294" distL="114300" distR="114300" simplePos="0" relativeHeight="251662336" behindDoc="0" locked="0" layoutInCell="1" allowOverlap="1" wp14:anchorId="2CD36AB1" wp14:editId="42F75D90">
                <wp:simplePos x="0" y="0"/>
                <wp:positionH relativeFrom="page">
                  <wp:posOffset>2943225</wp:posOffset>
                </wp:positionH>
                <wp:positionV relativeFrom="paragraph">
                  <wp:posOffset>11429</wp:posOffset>
                </wp:positionV>
                <wp:extent cx="1906905" cy="9525"/>
                <wp:effectExtent l="0" t="0" r="36195" b="28575"/>
                <wp:wrapNone/>
                <wp:docPr id="805406479" name="Straight Connector 805406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6905" cy="9525"/>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9B78C8" id="Straight Connector 805406479"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31.75pt,.9pt" to="381.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" strokecolor="black [3200]" strokeweight=".5pt">
                <v:stroke joinstyle="miter"/>
                <o:lock v:ext="edit" shapetype="f"/>
                <w10:wrap anchorx="page"/>
              </v:line>
            </w:pict>
          </mc:Fallback>
        </mc:AlternateContent>
      </w:r>
    </w:p>
    <w:p w14:paraId="75B25BB8" w14:textId="77777777" w:rsidR="00C23301" w:rsidRPr="0096488C" w:rsidRDefault="002F5715" w:rsidP="00CE1D7F">
      <w:pPr>
        <w:spacing w:before="60" w:after="60" w:line="240" w:lineRule="auto"/>
        <w:jc w:val="center"/>
      </w:pPr>
      <w:r w:rsidRPr="0096488C">
        <w:t>Kính gửi: Chính phủ</w:t>
      </w:r>
    </w:p>
    <w:p w14:paraId="56759070" w14:textId="77777777" w:rsidR="001F076F" w:rsidRPr="0096488C" w:rsidRDefault="002F5715" w:rsidP="00CE1D7F">
      <w:pPr>
        <w:spacing w:before="120" w:after="120" w:line="264" w:lineRule="auto"/>
        <w:jc w:val="center"/>
        <w:rPr>
          <w:sz w:val="24"/>
        </w:rPr>
      </w:pPr>
      <w:r w:rsidRPr="0096488C">
        <w:tab/>
      </w:r>
    </w:p>
    <w:p w14:paraId="7732F66B" w14:textId="023CD09A" w:rsidR="00EC1841" w:rsidRPr="0096488C" w:rsidRDefault="00EC1841" w:rsidP="0096488C">
      <w:pPr>
        <w:spacing w:before="60" w:after="60" w:line="264" w:lineRule="auto"/>
        <w:ind w:firstLine="720"/>
        <w:jc w:val="both"/>
      </w:pPr>
      <w:r w:rsidRPr="0096488C">
        <w:t xml:space="preserve">Thực hiện </w:t>
      </w:r>
      <w:r w:rsidR="00CE1D7F" w:rsidRPr="0096488C">
        <w:t xml:space="preserve">quy định của Luật Ban hành văn bản quy phạm pháp luật năm 2015, Luật </w:t>
      </w:r>
      <w:r w:rsidR="0042137F" w:rsidRPr="0096488C">
        <w:t xml:space="preserve">sửa đổi, bổ sung một số điều của Luật </w:t>
      </w:r>
      <w:r w:rsidR="00CE1D7F" w:rsidRPr="0096488C">
        <w:t>Ban hành văn bản quy phạm pháp luật</w:t>
      </w:r>
      <w:r w:rsidR="0042137F" w:rsidRPr="0096488C">
        <w:t xml:space="preserve"> năm 2020</w:t>
      </w:r>
      <w:r w:rsidR="00CB6A7D" w:rsidRPr="0096488C">
        <w:t>;</w:t>
      </w:r>
      <w:r w:rsidR="0042137F" w:rsidRPr="0096488C">
        <w:t xml:space="preserve"> </w:t>
      </w:r>
      <w:r w:rsidRPr="0096488C">
        <w:t>Quyết định số</w:t>
      </w:r>
      <w:r w:rsidR="00E116D2" w:rsidRPr="0096488C">
        <w:t xml:space="preserve"> </w:t>
      </w:r>
      <w:r w:rsidR="00947DBC" w:rsidRPr="0096488C">
        <w:t>857</w:t>
      </w:r>
      <w:r w:rsidR="00DF6546" w:rsidRPr="0096488C">
        <w:t xml:space="preserve">/QĐ-TTg ngày </w:t>
      </w:r>
      <w:r w:rsidR="00947DBC" w:rsidRPr="0096488C">
        <w:t>18</w:t>
      </w:r>
      <w:r w:rsidR="00DF6546" w:rsidRPr="0096488C">
        <w:t>/7/202</w:t>
      </w:r>
      <w:r w:rsidR="00947DBC" w:rsidRPr="0096488C">
        <w:t>3</w:t>
      </w:r>
      <w:r w:rsidR="00DF6546" w:rsidRPr="0096488C">
        <w:t xml:space="preserve"> của Thủ tướng Chính phủ </w:t>
      </w:r>
      <w:r w:rsidRPr="0096488C">
        <w:t>về việ</w:t>
      </w:r>
      <w:r w:rsidR="003C454E" w:rsidRPr="0096488C">
        <w:t xml:space="preserve">c ban hành Danh mục và phân công cơ quan chủ trì soạn thảo văn bản quy định chi tiết </w:t>
      </w:r>
      <w:r w:rsidR="00947DBC" w:rsidRPr="0096488C">
        <w:t>thi hành</w:t>
      </w:r>
      <w:r w:rsidR="003C454E" w:rsidRPr="0096488C">
        <w:t xml:space="preserve"> luật</w:t>
      </w:r>
      <w:r w:rsidR="00947DBC" w:rsidRPr="0096488C">
        <w:t>, nghị quyết</w:t>
      </w:r>
      <w:r w:rsidR="003C454E" w:rsidRPr="0096488C">
        <w:t xml:space="preserve"> được</w:t>
      </w:r>
      <w:r w:rsidR="00DF6546" w:rsidRPr="0096488C">
        <w:t xml:space="preserve"> Quốc hội </w:t>
      </w:r>
      <w:r w:rsidR="00947DBC" w:rsidRPr="0096488C">
        <w:t>k</w:t>
      </w:r>
      <w:r w:rsidR="00DF6546" w:rsidRPr="0096488C">
        <w:t>hóa XV</w:t>
      </w:r>
      <w:r w:rsidR="003C454E" w:rsidRPr="0096488C">
        <w:t xml:space="preserve"> thông qua tại Kỳ họp thứ</w:t>
      </w:r>
      <w:r w:rsidR="00DF6546" w:rsidRPr="0096488C">
        <w:t xml:space="preserve"> </w:t>
      </w:r>
      <w:r w:rsidR="00947DBC" w:rsidRPr="0096488C">
        <w:t>5</w:t>
      </w:r>
      <w:r w:rsidR="003C454E" w:rsidRPr="0096488C">
        <w:t>,</w:t>
      </w:r>
      <w:r w:rsidR="00DF6546" w:rsidRPr="0096488C">
        <w:t xml:space="preserve"> </w:t>
      </w:r>
      <w:r w:rsidRPr="0096488C">
        <w:t xml:space="preserve">Bộ Kế hoạch và Đầu tư </w:t>
      </w:r>
      <w:r w:rsidR="001F076F" w:rsidRPr="0096488C">
        <w:t xml:space="preserve">trình Chính phủ </w:t>
      </w:r>
      <w:r w:rsidR="008E36D8" w:rsidRPr="0096488C">
        <w:t xml:space="preserve">ban hành Nghị định quy định chi tiết </w:t>
      </w:r>
      <w:r w:rsidR="00947DBC" w:rsidRPr="0096488C">
        <w:t xml:space="preserve">một số điều </w:t>
      </w:r>
      <w:r w:rsidR="00A750C6" w:rsidRPr="0096488C">
        <w:t>của</w:t>
      </w:r>
      <w:r w:rsidR="00947DBC" w:rsidRPr="0096488C">
        <w:t xml:space="preserve"> </w:t>
      </w:r>
      <w:r w:rsidR="008E36D8" w:rsidRPr="0096488C">
        <w:t xml:space="preserve">Luật </w:t>
      </w:r>
      <w:r w:rsidR="00947DBC" w:rsidRPr="0096488C">
        <w:t>Hợp tác xã</w:t>
      </w:r>
      <w:r w:rsidR="0038582F" w:rsidRPr="0096488C">
        <w:t xml:space="preserve"> </w:t>
      </w:r>
      <w:r w:rsidR="00F22A9A" w:rsidRPr="0096488C">
        <w:t>(</w:t>
      </w:r>
      <w:r w:rsidR="00B76A21" w:rsidRPr="0096488C">
        <w:t>số 17/2023/QH15</w:t>
      </w:r>
      <w:r w:rsidR="00F22A9A" w:rsidRPr="0096488C">
        <w:t>)</w:t>
      </w:r>
      <w:r w:rsidR="00B76A21" w:rsidRPr="0096488C">
        <w:t xml:space="preserve"> </w:t>
      </w:r>
      <w:r w:rsidR="0042137F" w:rsidRPr="0096488C">
        <w:t>như</w:t>
      </w:r>
      <w:r w:rsidR="008E36D8" w:rsidRPr="0096488C">
        <w:t xml:space="preserve"> sau:</w:t>
      </w:r>
    </w:p>
    <w:p w14:paraId="3524B945" w14:textId="2B5443A7" w:rsidR="00CE1D7F" w:rsidRPr="0096488C" w:rsidRDefault="00CF3323" w:rsidP="0096488C">
      <w:pPr>
        <w:pStyle w:val="Heading1"/>
        <w:spacing w:before="60" w:after="60" w:line="264" w:lineRule="auto"/>
        <w:ind w:firstLine="720"/>
        <w:rPr>
          <w:sz w:val="28"/>
          <w:szCs w:val="28"/>
        </w:rPr>
      </w:pPr>
      <w:r w:rsidRPr="0096488C">
        <w:rPr>
          <w:sz w:val="28"/>
          <w:szCs w:val="28"/>
        </w:rPr>
        <w:t xml:space="preserve">I. </w:t>
      </w:r>
      <w:r w:rsidR="00CE1D7F" w:rsidRPr="0096488C">
        <w:rPr>
          <w:sz w:val="28"/>
          <w:szCs w:val="28"/>
        </w:rPr>
        <w:t>SỰ CẦN THIẾT BAN HÀNH NGHỊ ĐỊNH</w:t>
      </w:r>
    </w:p>
    <w:p w14:paraId="0A968918" w14:textId="61D9C89D" w:rsidR="00CE1D7F" w:rsidRPr="0096488C" w:rsidRDefault="00960368" w:rsidP="0096488C">
      <w:pPr>
        <w:pStyle w:val="Heading3"/>
        <w:numPr>
          <w:ilvl w:val="0"/>
          <w:numId w:val="11"/>
        </w:numPr>
        <w:spacing w:before="60" w:after="60"/>
      </w:pPr>
      <w:r w:rsidRPr="0096488C">
        <w:t>Cơ sở chính trị</w:t>
      </w:r>
    </w:p>
    <w:p w14:paraId="139741C0" w14:textId="0D129115" w:rsidR="0038582F" w:rsidRPr="0096488C" w:rsidRDefault="0038582F" w:rsidP="0096488C">
      <w:pPr>
        <w:spacing w:before="60" w:after="60" w:line="264" w:lineRule="auto"/>
        <w:ind w:firstLine="720"/>
        <w:jc w:val="both"/>
        <w:rPr>
          <w:lang w:eastAsia="zh-CN"/>
        </w:rPr>
      </w:pPr>
      <w:r w:rsidRPr="0096488C">
        <w:rPr>
          <w:lang w:eastAsia="zh-CN"/>
        </w:rPr>
        <w:t>- Nghị quyết số 20-NQ/TW ngày 16</w:t>
      </w:r>
      <w:r w:rsidR="00A460A8">
        <w:rPr>
          <w:lang w:eastAsia="zh-CN"/>
        </w:rPr>
        <w:t>/</w:t>
      </w:r>
      <w:r w:rsidRPr="0096488C">
        <w:rPr>
          <w:lang w:eastAsia="zh-CN"/>
        </w:rPr>
        <w:t>6</w:t>
      </w:r>
      <w:r w:rsidR="00A460A8">
        <w:rPr>
          <w:lang w:eastAsia="zh-CN"/>
        </w:rPr>
        <w:t>/</w:t>
      </w:r>
      <w:r w:rsidRPr="0096488C">
        <w:rPr>
          <w:lang w:eastAsia="zh-CN"/>
        </w:rPr>
        <w:t>2022, Hội nghị lần thứ năm, Ban Chấp hành Trung ương Đảng Khóa XIII về tiếp tục đổi mới, phát triển và nâng cao hiệu quả kinh tế tập thể trong giai đoạn mới đã đề ra 05 nhóm nhiệm vụ và giải pháp chủ yếu để thúc đẩy phát triển khu vực kinh tế tập thể, trong đó có nhiệm vụ khẩn trương sửa đổi Luật H</w:t>
      </w:r>
      <w:r w:rsidR="00F22A9A" w:rsidRPr="0096488C">
        <w:rPr>
          <w:lang w:eastAsia="zh-CN"/>
        </w:rPr>
        <w:t xml:space="preserve">ợp tác xã </w:t>
      </w:r>
      <w:r w:rsidR="00F22A9A" w:rsidRPr="0096488C">
        <w:t xml:space="preserve">(sau đây viết tắt là HTX) </w:t>
      </w:r>
      <w:r w:rsidRPr="0096488C">
        <w:rPr>
          <w:lang w:eastAsia="zh-CN"/>
        </w:rPr>
        <w:t xml:space="preserve">năm 2012 </w:t>
      </w:r>
      <w:r w:rsidR="0072345F" w:rsidRPr="0096488C">
        <w:rPr>
          <w:lang w:eastAsia="zh-CN"/>
        </w:rPr>
        <w:t xml:space="preserve">và các quy định pháp luật liên quan đến </w:t>
      </w:r>
      <w:r w:rsidR="00DB4A1C" w:rsidRPr="0096488C">
        <w:rPr>
          <w:lang w:eastAsia="zh-CN"/>
        </w:rPr>
        <w:t>k</w:t>
      </w:r>
      <w:r w:rsidR="0072345F" w:rsidRPr="0096488C">
        <w:rPr>
          <w:lang w:eastAsia="zh-CN"/>
        </w:rPr>
        <w:t>inh tế tập thể, HTX.</w:t>
      </w:r>
    </w:p>
    <w:p w14:paraId="7AF2232C" w14:textId="2EDA994D" w:rsidR="008755CD" w:rsidRPr="0096488C" w:rsidRDefault="0038582F" w:rsidP="0096488C">
      <w:pPr>
        <w:spacing w:before="60" w:after="60" w:line="264" w:lineRule="auto"/>
        <w:ind w:firstLine="720"/>
        <w:jc w:val="both"/>
        <w:rPr>
          <w:lang w:eastAsia="zh-CN"/>
        </w:rPr>
      </w:pPr>
      <w:r w:rsidRPr="0096488C">
        <w:rPr>
          <w:lang w:eastAsia="zh-CN"/>
        </w:rPr>
        <w:t xml:space="preserve">- </w:t>
      </w:r>
      <w:r w:rsidR="001B242C" w:rsidRPr="0096488C">
        <w:rPr>
          <w:lang w:eastAsia="zh-CN"/>
        </w:rPr>
        <w:t xml:space="preserve">Nghị quyết số 09-NQ/CP ngày </w:t>
      </w:r>
      <w:r w:rsidR="00A460A8">
        <w:rPr>
          <w:lang w:eastAsia="zh-CN"/>
        </w:rPr>
        <w:t>02/02/2023</w:t>
      </w:r>
      <w:r w:rsidR="001B242C" w:rsidRPr="0096488C">
        <w:rPr>
          <w:lang w:eastAsia="zh-CN"/>
        </w:rPr>
        <w:t xml:space="preserve"> của Chính phủ ban hành Chương trình hành động của Chính phủ thực hiện Nghị quyết số 20-NQ/TW ngày 16</w:t>
      </w:r>
      <w:r w:rsidR="00A460A8">
        <w:rPr>
          <w:lang w:eastAsia="zh-CN"/>
        </w:rPr>
        <w:t>/</w:t>
      </w:r>
      <w:r w:rsidR="001B242C" w:rsidRPr="0096488C">
        <w:rPr>
          <w:lang w:eastAsia="zh-CN"/>
        </w:rPr>
        <w:t>6</w:t>
      </w:r>
      <w:r w:rsidR="00A460A8">
        <w:rPr>
          <w:lang w:eastAsia="zh-CN"/>
        </w:rPr>
        <w:t>/</w:t>
      </w:r>
      <w:r w:rsidR="001B242C" w:rsidRPr="0096488C">
        <w:rPr>
          <w:lang w:eastAsia="zh-CN"/>
        </w:rPr>
        <w:t>2022, Hội nghị lần thứ năm, Ban Chấp hành Trung ương Đảng Khóa XIII về tiếp tục đổi mới, phát triển và nâng cao hiệu quả kinh tế tập thể trong giai đoạn mới giao Bộ Kế hoạch và Đầu tư chủ trì, phối hợp cùng các bộ, ngành, địa phương nghiên cứu xây dựng dự án Luật H</w:t>
      </w:r>
      <w:r w:rsidR="00506217" w:rsidRPr="0096488C">
        <w:rPr>
          <w:lang w:eastAsia="zh-CN"/>
        </w:rPr>
        <w:t>TX</w:t>
      </w:r>
      <w:r w:rsidR="001B242C" w:rsidRPr="0096488C">
        <w:rPr>
          <w:lang w:eastAsia="zh-CN"/>
        </w:rPr>
        <w:t xml:space="preserve"> (sửa đổi) và các văn bản hướng dẫn thi hành</w:t>
      </w:r>
      <w:r w:rsidR="001B242C" w:rsidRPr="0096488C">
        <w:rPr>
          <w:rStyle w:val="FootnoteReference"/>
          <w:lang w:eastAsia="zh-CN"/>
        </w:rPr>
        <w:footnoteReference w:id="1"/>
      </w:r>
      <w:r w:rsidR="00C77288" w:rsidRPr="0096488C">
        <w:rPr>
          <w:lang w:eastAsia="zh-CN"/>
        </w:rPr>
        <w:t xml:space="preserve">. </w:t>
      </w:r>
    </w:p>
    <w:p w14:paraId="3609CED3" w14:textId="58B88610" w:rsidR="008755CD" w:rsidRPr="0096488C" w:rsidRDefault="00CE1D7F" w:rsidP="0096488C">
      <w:pPr>
        <w:pStyle w:val="Heading3"/>
        <w:numPr>
          <w:ilvl w:val="0"/>
          <w:numId w:val="11"/>
        </w:numPr>
        <w:spacing w:before="60" w:after="60"/>
      </w:pPr>
      <w:r w:rsidRPr="0096488C">
        <w:t xml:space="preserve">Cơ sở </w:t>
      </w:r>
      <w:r w:rsidR="008755CD" w:rsidRPr="0096488C">
        <w:t xml:space="preserve">pháp lý </w:t>
      </w:r>
    </w:p>
    <w:p w14:paraId="543ECF18" w14:textId="1281EF15" w:rsidR="002F625E" w:rsidRPr="0096488C" w:rsidRDefault="008755CD" w:rsidP="0096488C">
      <w:pPr>
        <w:spacing w:before="60" w:after="60" w:line="264" w:lineRule="auto"/>
        <w:ind w:firstLine="720"/>
        <w:jc w:val="both"/>
      </w:pPr>
      <w:r w:rsidRPr="0096488C">
        <w:t>Luật H</w:t>
      </w:r>
      <w:r w:rsidR="009674E7" w:rsidRPr="0096488C">
        <w:t>TX</w:t>
      </w:r>
      <w:r w:rsidRPr="0096488C">
        <w:t xml:space="preserve"> số 17/2023/QH15 (sau đây </w:t>
      </w:r>
      <w:r w:rsidR="007E4DE9" w:rsidRPr="0096488C">
        <w:t>viết</w:t>
      </w:r>
      <w:r w:rsidRPr="0096488C">
        <w:t xml:space="preserve"> tắt là Luật HTX năm 2023) được Quốc hội </w:t>
      </w:r>
      <w:r w:rsidR="00CE4B0F" w:rsidRPr="0096488C">
        <w:t xml:space="preserve">khóa </w:t>
      </w:r>
      <w:r w:rsidRPr="0096488C">
        <w:t>XV thông qua tại Kỳ họp thứ 5 ngày 20</w:t>
      </w:r>
      <w:r w:rsidR="00A460A8">
        <w:t>/</w:t>
      </w:r>
      <w:r w:rsidRPr="0096488C">
        <w:t>6</w:t>
      </w:r>
      <w:r w:rsidR="00A460A8">
        <w:t>/</w:t>
      </w:r>
      <w:r w:rsidRPr="0096488C">
        <w:t xml:space="preserve">2023 và có hiệu lực thi hành kể từ ngày </w:t>
      </w:r>
      <w:r w:rsidR="00A460A8">
        <w:t>01/7/</w:t>
      </w:r>
      <w:r w:rsidRPr="0096488C">
        <w:t>2024, giao Chính phủ quy định chi tiết</w:t>
      </w:r>
      <w:r w:rsidR="002451CA" w:rsidRPr="0096488C">
        <w:t xml:space="preserve"> tại</w:t>
      </w:r>
      <w:r w:rsidRPr="0096488C">
        <w:t xml:space="preserve"> </w:t>
      </w:r>
      <w:r w:rsidR="00F22A9A" w:rsidRPr="0096488C">
        <w:t>24</w:t>
      </w:r>
      <w:r w:rsidR="003D2E40" w:rsidRPr="0096488C">
        <w:t xml:space="preserve"> Điều, khoản của Luật. </w:t>
      </w:r>
    </w:p>
    <w:p w14:paraId="5E480648" w14:textId="206F9119" w:rsidR="00CE1D7F" w:rsidRPr="0096488C" w:rsidRDefault="003D2E40" w:rsidP="0096488C">
      <w:pPr>
        <w:spacing w:before="60" w:after="60" w:line="264" w:lineRule="auto"/>
        <w:ind w:firstLine="720"/>
        <w:jc w:val="both"/>
      </w:pPr>
      <w:r w:rsidRPr="0096488C">
        <w:lastRenderedPageBreak/>
        <w:t>Thực hiện nhiệm vụ được Luật giao, Thủ tướng Chính phủ đã ban hành Quyết định số 857/QĐ-TTg ngày 18</w:t>
      </w:r>
      <w:r w:rsidR="00A460A8">
        <w:t>/7/</w:t>
      </w:r>
      <w:r w:rsidRPr="0096488C">
        <w:t>2023 về việc ban hành Danh mục và phân công cơ quan chủ trì soạn thảo văn bản quy định chi tiết thi hành luật, nghị quyết được Quốc hội khóa XV thông qua tại Kỳ họp thứ 5</w:t>
      </w:r>
      <w:r w:rsidR="00840344" w:rsidRPr="0096488C">
        <w:t xml:space="preserve"> (sau đây viết tắt là Quyết định số 857/QĐ-TTg)</w:t>
      </w:r>
      <w:r w:rsidRPr="0096488C">
        <w:t>, trong đó giao các nội dung quy định chi tiết Luật HTX năm 2023 tại 02 Nghị định</w:t>
      </w:r>
      <w:r w:rsidR="002F625E" w:rsidRPr="0096488C">
        <w:t xml:space="preserve"> và yêu cầu bảo đảm Luật có hiệu lực thi hành đồng thời với các văn bản hướng dẫn thi hành. Nghị định quy định chi tiết một số điều </w:t>
      </w:r>
      <w:r w:rsidR="009674E7" w:rsidRPr="0096488C">
        <w:t>của</w:t>
      </w:r>
      <w:r w:rsidR="002F625E" w:rsidRPr="0096488C">
        <w:t xml:space="preserve"> Luật HTX </w:t>
      </w:r>
      <w:r w:rsidR="001040FE" w:rsidRPr="0096488C">
        <w:t xml:space="preserve">được giao </w:t>
      </w:r>
      <w:r w:rsidR="002F625E" w:rsidRPr="0096488C">
        <w:t xml:space="preserve">hướng dẫn các Điều về: phân loại HTX (Điều 16); chính sách hỗ trợ của Nhà nước cho tổ hợp tác, HTX, liên hiệp HTX (Điều 18, 20, 24, 25, 26, 27 và Điều 28); </w:t>
      </w:r>
      <w:r w:rsidR="006B181B" w:rsidRPr="0096488C">
        <w:t xml:space="preserve">điều kiện HTX, liên hiệp HTX </w:t>
      </w:r>
      <w:r w:rsidR="002F625E" w:rsidRPr="0096488C">
        <w:t>thành lập doanh nghiệp, góp vốn, mua cổ phần (Điều 81, 82); hoạt động cho vay nội bộ (Điều 83); giao dịch nội bộ và thu nhập từ giao dịch nội bộ (Điều 85); xử lý tài sản khi HTX, liên hiệp HTX giải thể, phá sản (Điều 99, Điều 101); việc thành lập, tổ chức, hoạt động của tổ hợp tác (Điều 107).</w:t>
      </w:r>
      <w:r w:rsidR="002F625E" w:rsidRPr="0096488C">
        <w:rPr>
          <w:rStyle w:val="FootnoteReference"/>
        </w:rPr>
        <w:footnoteReference w:id="2"/>
      </w:r>
      <w:r w:rsidRPr="0096488C">
        <w:t xml:space="preserve">  </w:t>
      </w:r>
    </w:p>
    <w:p w14:paraId="2D8F5EA9" w14:textId="71F1AFB5" w:rsidR="008755CD" w:rsidRPr="0096488C" w:rsidRDefault="008755CD" w:rsidP="0096488C">
      <w:pPr>
        <w:pStyle w:val="Heading3"/>
        <w:numPr>
          <w:ilvl w:val="0"/>
          <w:numId w:val="11"/>
        </w:numPr>
        <w:spacing w:before="60" w:after="60"/>
      </w:pPr>
      <w:r w:rsidRPr="0096488C">
        <w:t>Cơ sở thực tiễn</w:t>
      </w:r>
    </w:p>
    <w:p w14:paraId="29858312" w14:textId="3D892779" w:rsidR="00E35E44" w:rsidRPr="0096488C" w:rsidRDefault="00C718CB" w:rsidP="0096488C">
      <w:pPr>
        <w:spacing w:before="60" w:after="60" w:line="264" w:lineRule="auto"/>
        <w:ind w:firstLine="720"/>
        <w:jc w:val="both"/>
        <w:rPr>
          <w:lang w:val="nl-NL"/>
        </w:rPr>
      </w:pPr>
      <w:r w:rsidRPr="0096488C">
        <w:rPr>
          <w:lang w:val="nl-NL"/>
        </w:rPr>
        <w:t>Tổng kết thi hành 10 năm thực hiện Luật HTX năm 2012</w:t>
      </w:r>
      <w:r w:rsidRPr="0096488C">
        <w:rPr>
          <w:rStyle w:val="FootnoteReference"/>
          <w:i/>
          <w:szCs w:val="28"/>
          <w:lang w:val="nl-NL"/>
        </w:rPr>
        <w:footnoteReference w:id="3"/>
      </w:r>
      <w:r w:rsidRPr="0096488C">
        <w:rPr>
          <w:lang w:val="nl-NL"/>
        </w:rPr>
        <w:t xml:space="preserve"> cho thấy, Luật HTX năm 2012, các văn bản hướng dẫn thi hành Luật và các chính sách hỗ trợ được ban hành trong thời gian </w:t>
      </w:r>
      <w:r w:rsidR="00A8168D" w:rsidRPr="0096488C">
        <w:rPr>
          <w:lang w:val="nl-NL"/>
        </w:rPr>
        <w:t>qua</w:t>
      </w:r>
      <w:r w:rsidRPr="0096488C">
        <w:rPr>
          <w:lang w:val="nl-NL"/>
        </w:rPr>
        <w:t xml:space="preserve"> đã bước đầu tạo sự thay đổi trong nhận thức và phát triển khu vực kinh tế tập thể ở Việt Nam. </w:t>
      </w:r>
      <w:r w:rsidR="00864155" w:rsidRPr="0096488C">
        <w:rPr>
          <w:lang w:val="nl-NL"/>
        </w:rPr>
        <w:t xml:space="preserve">Tuy nhiên, bên cạnh các kết quả đạt được, các quy định của pháp luật và các chính sách của Nhà nước còn không ít bất cập, hạn chế dẫn đến việc thực thi pháp luật, chính sách thiếu hiệu quả, chưa đáp ứng được yêu cầu. </w:t>
      </w:r>
      <w:r w:rsidR="003D2E40" w:rsidRPr="0096488C">
        <w:rPr>
          <w:lang w:val="nl-NL"/>
        </w:rPr>
        <w:t xml:space="preserve">Luật HTX năm 2023 đã </w:t>
      </w:r>
      <w:r w:rsidR="00A8168D" w:rsidRPr="0096488C">
        <w:rPr>
          <w:lang w:val="nl-NL"/>
        </w:rPr>
        <w:t xml:space="preserve">cơ bản </w:t>
      </w:r>
      <w:r w:rsidR="00313966" w:rsidRPr="0096488C">
        <w:rPr>
          <w:lang w:val="nl-NL"/>
        </w:rPr>
        <w:t xml:space="preserve">giải quyết </w:t>
      </w:r>
      <w:r w:rsidR="00A8168D" w:rsidRPr="0096488C">
        <w:rPr>
          <w:lang w:val="nl-NL"/>
        </w:rPr>
        <w:t xml:space="preserve">các vấn đề vướng mắc, hạn chế trong các quy định của </w:t>
      </w:r>
      <w:r w:rsidR="00313966" w:rsidRPr="0096488C">
        <w:rPr>
          <w:lang w:val="nl-NL"/>
        </w:rPr>
        <w:t xml:space="preserve">chính sách, </w:t>
      </w:r>
      <w:r w:rsidR="00A8168D" w:rsidRPr="0096488C">
        <w:rPr>
          <w:lang w:val="nl-NL"/>
        </w:rPr>
        <w:t>pháp luật hiện hành</w:t>
      </w:r>
      <w:r w:rsidR="00E35E44" w:rsidRPr="0096488C">
        <w:rPr>
          <w:lang w:val="nl-NL"/>
        </w:rPr>
        <w:t xml:space="preserve">. </w:t>
      </w:r>
      <w:r w:rsidR="00313966" w:rsidRPr="0096488C">
        <w:rPr>
          <w:lang w:val="nl-NL"/>
        </w:rPr>
        <w:t>Một số vấn đề</w:t>
      </w:r>
      <w:r w:rsidR="0057348E" w:rsidRPr="0096488C">
        <w:rPr>
          <w:lang w:val="nl-NL"/>
        </w:rPr>
        <w:t xml:space="preserve"> </w:t>
      </w:r>
      <w:r w:rsidR="00143B59" w:rsidRPr="0096488C">
        <w:rPr>
          <w:lang w:val="nl-NL"/>
        </w:rPr>
        <w:t xml:space="preserve">cần được tiếp tục cụ thể hóa tại các văn bản quy định chi tiết </w:t>
      </w:r>
      <w:r w:rsidR="00EF6E29" w:rsidRPr="0096488C">
        <w:rPr>
          <w:lang w:val="nl-NL"/>
        </w:rPr>
        <w:t xml:space="preserve">và </w:t>
      </w:r>
      <w:r w:rsidR="00143B59" w:rsidRPr="0096488C">
        <w:rPr>
          <w:lang w:val="nl-NL"/>
        </w:rPr>
        <w:t>giao</w:t>
      </w:r>
      <w:r w:rsidR="00313966" w:rsidRPr="0096488C">
        <w:rPr>
          <w:lang w:val="nl-NL"/>
        </w:rPr>
        <w:t xml:space="preserve"> </w:t>
      </w:r>
      <w:r w:rsidR="0057348E" w:rsidRPr="0096488C">
        <w:rPr>
          <w:lang w:val="nl-NL"/>
        </w:rPr>
        <w:t>Chính phủ</w:t>
      </w:r>
      <w:r w:rsidR="00143B59" w:rsidRPr="0096488C">
        <w:rPr>
          <w:lang w:val="nl-NL"/>
        </w:rPr>
        <w:t xml:space="preserve"> thực hiện</w:t>
      </w:r>
      <w:r w:rsidR="00AE598C" w:rsidRPr="0096488C">
        <w:rPr>
          <w:lang w:val="nl-NL"/>
        </w:rPr>
        <w:t>.</w:t>
      </w:r>
      <w:r w:rsidR="00313966" w:rsidRPr="0096488C">
        <w:rPr>
          <w:lang w:val="nl-NL"/>
        </w:rPr>
        <w:t xml:space="preserve">  </w:t>
      </w:r>
    </w:p>
    <w:p w14:paraId="5B4B406E" w14:textId="0F9680B4" w:rsidR="00AE598C" w:rsidRPr="0096488C" w:rsidRDefault="00E35E44" w:rsidP="0096488C">
      <w:pPr>
        <w:spacing w:before="60" w:after="60" w:line="264" w:lineRule="auto"/>
        <w:ind w:firstLine="720"/>
        <w:jc w:val="both"/>
        <w:rPr>
          <w:lang w:val="nl-NL"/>
        </w:rPr>
      </w:pPr>
      <w:r w:rsidRPr="0096488C">
        <w:rPr>
          <w:lang w:val="nl-NL"/>
        </w:rPr>
        <w:t>Đối với các nội dung được giao quy định chi tiết tại Nghị định này,</w:t>
      </w:r>
      <w:r w:rsidR="00AE598C" w:rsidRPr="0096488C">
        <w:rPr>
          <w:lang w:val="nl-NL"/>
        </w:rPr>
        <w:t xml:space="preserve"> thực tế </w:t>
      </w:r>
      <w:r w:rsidR="002757F9" w:rsidRPr="0096488C">
        <w:rPr>
          <w:lang w:val="nl-NL"/>
        </w:rPr>
        <w:t>đặt ra các</w:t>
      </w:r>
      <w:r w:rsidR="00AE598C" w:rsidRPr="0096488C">
        <w:rPr>
          <w:lang w:val="nl-NL"/>
        </w:rPr>
        <w:t xml:space="preserve"> yêu cầu cần phải giải quyết,</w:t>
      </w:r>
      <w:r w:rsidR="00A8168D" w:rsidRPr="0096488C">
        <w:rPr>
          <w:lang w:val="nl-NL"/>
        </w:rPr>
        <w:t xml:space="preserve"> </w:t>
      </w:r>
      <w:r w:rsidR="00AE598C" w:rsidRPr="0096488C">
        <w:rPr>
          <w:lang w:val="nl-NL"/>
        </w:rPr>
        <w:t>c</w:t>
      </w:r>
      <w:r w:rsidR="00864155" w:rsidRPr="0096488C">
        <w:rPr>
          <w:lang w:val="nl-NL"/>
        </w:rPr>
        <w:t>ụ thể</w:t>
      </w:r>
      <w:r w:rsidR="00AE598C" w:rsidRPr="0096488C">
        <w:rPr>
          <w:lang w:val="nl-NL"/>
        </w:rPr>
        <w:t xml:space="preserve"> như sau</w:t>
      </w:r>
      <w:r w:rsidR="00864155" w:rsidRPr="0096488C">
        <w:rPr>
          <w:lang w:val="nl-NL"/>
        </w:rPr>
        <w:t>:</w:t>
      </w:r>
    </w:p>
    <w:p w14:paraId="09C9F1C9" w14:textId="77777777" w:rsidR="00D83158" w:rsidRPr="0096488C" w:rsidRDefault="0057348E" w:rsidP="0096488C">
      <w:pPr>
        <w:pStyle w:val="ListParagraph"/>
        <w:spacing w:before="60" w:after="60" w:line="264" w:lineRule="auto"/>
        <w:ind w:left="0" w:firstLine="720"/>
        <w:jc w:val="both"/>
        <w:rPr>
          <w:rFonts w:ascii="Times New Roman" w:hAnsi="Times New Roman"/>
          <w:spacing w:val="-2"/>
          <w:sz w:val="28"/>
          <w:szCs w:val="28"/>
          <w:lang w:val="pt-BR" w:eastAsia="ar-SA"/>
        </w:rPr>
      </w:pPr>
      <w:r w:rsidRPr="0096488C">
        <w:rPr>
          <w:rFonts w:ascii="Times New Roman" w:hAnsi="Times New Roman"/>
          <w:spacing w:val="-2"/>
          <w:sz w:val="28"/>
          <w:szCs w:val="28"/>
          <w:lang w:val="pt-BR" w:eastAsia="ar-SA"/>
        </w:rPr>
        <w:t>a)</w:t>
      </w:r>
      <w:r w:rsidR="002757F9" w:rsidRPr="0096488C">
        <w:rPr>
          <w:rFonts w:ascii="Times New Roman" w:hAnsi="Times New Roman"/>
          <w:spacing w:val="-2"/>
          <w:sz w:val="28"/>
          <w:szCs w:val="28"/>
          <w:lang w:val="pt-BR" w:eastAsia="ar-SA"/>
        </w:rPr>
        <w:t xml:space="preserve"> Đối với vấn đề về phân loại HTX:</w:t>
      </w:r>
      <w:r w:rsidR="00AE598C" w:rsidRPr="0096488C">
        <w:rPr>
          <w:rFonts w:ascii="Times New Roman" w:hAnsi="Times New Roman"/>
          <w:spacing w:val="-2"/>
          <w:sz w:val="28"/>
          <w:szCs w:val="28"/>
          <w:lang w:val="pt-BR" w:eastAsia="ar-SA"/>
        </w:rPr>
        <w:t xml:space="preserve"> </w:t>
      </w:r>
    </w:p>
    <w:p w14:paraId="02D3510B" w14:textId="4C59D2A2" w:rsidR="00D83158" w:rsidRPr="0096488C" w:rsidRDefault="009E511C" w:rsidP="0096488C">
      <w:pPr>
        <w:pStyle w:val="ListParagraph"/>
        <w:spacing w:before="60" w:after="60" w:line="264" w:lineRule="auto"/>
        <w:ind w:left="0" w:firstLine="720"/>
        <w:jc w:val="both"/>
        <w:rPr>
          <w:rFonts w:ascii="Times New Roman" w:hAnsi="Times New Roman"/>
          <w:spacing w:val="-2"/>
          <w:sz w:val="28"/>
          <w:szCs w:val="28"/>
          <w:lang w:val="pt-BR" w:eastAsia="ar-SA"/>
        </w:rPr>
      </w:pPr>
      <w:r w:rsidRPr="0096488C">
        <w:rPr>
          <w:rFonts w:ascii="Times New Roman" w:hAnsi="Times New Roman"/>
          <w:spacing w:val="-2"/>
          <w:sz w:val="28"/>
          <w:szCs w:val="28"/>
          <w:lang w:val="pt-BR" w:eastAsia="ar-SA"/>
        </w:rPr>
        <w:t xml:space="preserve">Quy định </w:t>
      </w:r>
      <w:r w:rsidR="00AE598C" w:rsidRPr="0096488C">
        <w:rPr>
          <w:rFonts w:ascii="Times New Roman" w:hAnsi="Times New Roman"/>
          <w:spacing w:val="-2"/>
          <w:sz w:val="28"/>
          <w:szCs w:val="28"/>
          <w:lang w:val="pt-BR" w:eastAsia="ar-SA"/>
        </w:rPr>
        <w:t xml:space="preserve">hiện hành </w:t>
      </w:r>
      <w:r w:rsidR="00027D0B" w:rsidRPr="0096488C">
        <w:rPr>
          <w:rFonts w:ascii="Times New Roman" w:hAnsi="Times New Roman"/>
          <w:spacing w:val="-2"/>
          <w:sz w:val="28"/>
          <w:szCs w:val="28"/>
          <w:lang w:val="pt-BR" w:eastAsia="ar-SA"/>
        </w:rPr>
        <w:t>về phân loại HTX</w:t>
      </w:r>
      <w:r w:rsidR="00AE598C" w:rsidRPr="0096488C">
        <w:rPr>
          <w:rFonts w:ascii="Times New Roman" w:hAnsi="Times New Roman"/>
          <w:spacing w:val="-2"/>
          <w:sz w:val="28"/>
          <w:szCs w:val="28"/>
          <w:lang w:val="pt-BR" w:eastAsia="ar-SA"/>
        </w:rPr>
        <w:t xml:space="preserve"> </w:t>
      </w:r>
      <w:r w:rsidRPr="0096488C">
        <w:rPr>
          <w:rFonts w:ascii="Times New Roman" w:hAnsi="Times New Roman"/>
          <w:spacing w:val="-2"/>
          <w:sz w:val="28"/>
          <w:szCs w:val="28"/>
          <w:lang w:val="pt-BR" w:eastAsia="ar-SA"/>
        </w:rPr>
        <w:t xml:space="preserve">được hướng dẫn </w:t>
      </w:r>
      <w:r w:rsidR="00AE598C" w:rsidRPr="0096488C">
        <w:rPr>
          <w:rFonts w:ascii="Times New Roman" w:hAnsi="Times New Roman"/>
          <w:spacing w:val="-2"/>
          <w:sz w:val="28"/>
          <w:szCs w:val="28"/>
          <w:lang w:val="pt-BR" w:eastAsia="ar-SA"/>
        </w:rPr>
        <w:t>tại 02 văn bản</w:t>
      </w:r>
      <w:r w:rsidR="0057348E" w:rsidRPr="0096488C">
        <w:rPr>
          <w:rFonts w:ascii="Times New Roman" w:hAnsi="Times New Roman"/>
          <w:spacing w:val="-2"/>
          <w:sz w:val="28"/>
          <w:szCs w:val="28"/>
          <w:lang w:val="pt-BR" w:eastAsia="ar-SA"/>
        </w:rPr>
        <w:t xml:space="preserve"> là</w:t>
      </w:r>
      <w:r w:rsidR="00AE598C" w:rsidRPr="0096488C">
        <w:rPr>
          <w:rFonts w:ascii="Times New Roman" w:hAnsi="Times New Roman"/>
          <w:spacing w:val="-2"/>
          <w:sz w:val="28"/>
          <w:szCs w:val="28"/>
          <w:lang w:val="pt-BR" w:eastAsia="ar-SA"/>
        </w:rPr>
        <w:t xml:space="preserve"> Thông tư số 01/2020/TT-BKHĐT ngày 19</w:t>
      </w:r>
      <w:r w:rsidR="00A460A8">
        <w:rPr>
          <w:rFonts w:ascii="Times New Roman" w:hAnsi="Times New Roman"/>
          <w:spacing w:val="-2"/>
          <w:sz w:val="28"/>
          <w:szCs w:val="28"/>
          <w:lang w:val="pt-BR" w:eastAsia="ar-SA"/>
        </w:rPr>
        <w:t>/</w:t>
      </w:r>
      <w:r w:rsidR="00AE598C" w:rsidRPr="0096488C">
        <w:rPr>
          <w:rFonts w:ascii="Times New Roman" w:hAnsi="Times New Roman"/>
          <w:spacing w:val="-2"/>
          <w:sz w:val="28"/>
          <w:szCs w:val="28"/>
          <w:lang w:val="pt-BR" w:eastAsia="ar-SA"/>
        </w:rPr>
        <w:t>02</w:t>
      </w:r>
      <w:r w:rsidR="00A460A8">
        <w:rPr>
          <w:rFonts w:ascii="Times New Roman" w:hAnsi="Times New Roman"/>
          <w:spacing w:val="-2"/>
          <w:sz w:val="28"/>
          <w:szCs w:val="28"/>
          <w:lang w:val="pt-BR" w:eastAsia="ar-SA"/>
        </w:rPr>
        <w:t>/</w:t>
      </w:r>
      <w:r w:rsidR="00AE598C" w:rsidRPr="0096488C">
        <w:rPr>
          <w:rFonts w:ascii="Times New Roman" w:hAnsi="Times New Roman"/>
          <w:spacing w:val="-2"/>
          <w:sz w:val="28"/>
          <w:szCs w:val="28"/>
          <w:lang w:val="pt-BR" w:eastAsia="ar-SA"/>
        </w:rPr>
        <w:t xml:space="preserve">2020 của Bộ Kế hoạch và Đầu tư về Hướng dẫn phân loại và đánh giá HTX </w:t>
      </w:r>
      <w:r w:rsidR="007E6E6C" w:rsidRPr="0096488C">
        <w:rPr>
          <w:rFonts w:ascii="Times New Roman" w:hAnsi="Times New Roman"/>
          <w:spacing w:val="-2"/>
          <w:sz w:val="28"/>
          <w:szCs w:val="28"/>
          <w:lang w:val="pt-BR" w:eastAsia="ar-SA"/>
        </w:rPr>
        <w:t xml:space="preserve">(sau đây viết tắt là Thông tư số 01/2020/TT-BKHĐT) </w:t>
      </w:r>
      <w:r w:rsidR="00AE598C" w:rsidRPr="0096488C">
        <w:rPr>
          <w:rFonts w:ascii="Times New Roman" w:hAnsi="Times New Roman"/>
          <w:spacing w:val="-2"/>
          <w:sz w:val="28"/>
          <w:szCs w:val="28"/>
          <w:lang w:val="pt-BR" w:eastAsia="ar-SA"/>
        </w:rPr>
        <w:t>dành cho tất cả các HTX</w:t>
      </w:r>
      <w:r w:rsidRPr="0096488C">
        <w:rPr>
          <w:rFonts w:ascii="Times New Roman" w:hAnsi="Times New Roman"/>
          <w:spacing w:val="-2"/>
          <w:sz w:val="28"/>
          <w:szCs w:val="28"/>
          <w:lang w:val="pt-BR" w:eastAsia="ar-SA"/>
        </w:rPr>
        <w:t xml:space="preserve"> hoạt động</w:t>
      </w:r>
      <w:r w:rsidR="00AE598C" w:rsidRPr="0096488C">
        <w:rPr>
          <w:rFonts w:ascii="Times New Roman" w:hAnsi="Times New Roman"/>
          <w:spacing w:val="-2"/>
          <w:sz w:val="28"/>
          <w:szCs w:val="28"/>
          <w:lang w:val="pt-BR" w:eastAsia="ar-SA"/>
        </w:rPr>
        <w:t xml:space="preserve"> trong các ngành</w:t>
      </w:r>
      <w:r w:rsidRPr="0096488C">
        <w:rPr>
          <w:rFonts w:ascii="Times New Roman" w:hAnsi="Times New Roman"/>
          <w:spacing w:val="-2"/>
          <w:sz w:val="28"/>
          <w:szCs w:val="28"/>
          <w:lang w:val="pt-BR" w:eastAsia="ar-SA"/>
        </w:rPr>
        <w:t>, lĩnh vực</w:t>
      </w:r>
      <w:r w:rsidR="00AE598C" w:rsidRPr="0096488C">
        <w:rPr>
          <w:rFonts w:ascii="Times New Roman" w:hAnsi="Times New Roman"/>
          <w:spacing w:val="-2"/>
          <w:sz w:val="28"/>
          <w:szCs w:val="28"/>
          <w:lang w:val="pt-BR" w:eastAsia="ar-SA"/>
        </w:rPr>
        <w:t xml:space="preserve"> </w:t>
      </w:r>
      <w:r w:rsidRPr="0096488C">
        <w:rPr>
          <w:rFonts w:ascii="Times New Roman" w:hAnsi="Times New Roman"/>
          <w:spacing w:val="-2"/>
          <w:sz w:val="28"/>
          <w:szCs w:val="28"/>
          <w:lang w:val="pt-BR" w:eastAsia="ar-SA"/>
        </w:rPr>
        <w:t>của nền kinh tế</w:t>
      </w:r>
      <w:r w:rsidR="00AE598C" w:rsidRPr="0096488C">
        <w:rPr>
          <w:rFonts w:ascii="Times New Roman" w:hAnsi="Times New Roman"/>
          <w:spacing w:val="-2"/>
          <w:sz w:val="28"/>
          <w:szCs w:val="28"/>
          <w:lang w:val="pt-BR" w:eastAsia="ar-SA"/>
        </w:rPr>
        <w:t xml:space="preserve"> và Thông tư </w:t>
      </w:r>
      <w:r w:rsidR="00027D0B" w:rsidRPr="0096488C">
        <w:rPr>
          <w:rFonts w:ascii="Times New Roman" w:hAnsi="Times New Roman"/>
          <w:spacing w:val="-2"/>
          <w:sz w:val="28"/>
          <w:szCs w:val="28"/>
          <w:lang w:val="pt-BR" w:eastAsia="ar-SA"/>
        </w:rPr>
        <w:t xml:space="preserve">số </w:t>
      </w:r>
      <w:r w:rsidR="00AE598C" w:rsidRPr="0096488C">
        <w:rPr>
          <w:rFonts w:ascii="Times New Roman" w:hAnsi="Times New Roman"/>
          <w:spacing w:val="-2"/>
          <w:sz w:val="28"/>
          <w:szCs w:val="28"/>
          <w:lang w:val="pt-BR" w:eastAsia="ar-SA"/>
        </w:rPr>
        <w:t>09/2017/TT-BNNPTNT ngày 17</w:t>
      </w:r>
      <w:r w:rsidR="00A460A8">
        <w:rPr>
          <w:rFonts w:ascii="Times New Roman" w:hAnsi="Times New Roman"/>
          <w:spacing w:val="-2"/>
          <w:sz w:val="28"/>
          <w:szCs w:val="28"/>
          <w:lang w:val="pt-BR" w:eastAsia="ar-SA"/>
        </w:rPr>
        <w:t>/</w:t>
      </w:r>
      <w:r w:rsidR="00AE598C" w:rsidRPr="0096488C">
        <w:rPr>
          <w:rFonts w:ascii="Times New Roman" w:hAnsi="Times New Roman"/>
          <w:spacing w:val="-2"/>
          <w:sz w:val="28"/>
          <w:szCs w:val="28"/>
          <w:lang w:val="pt-BR" w:eastAsia="ar-SA"/>
        </w:rPr>
        <w:t>4</w:t>
      </w:r>
      <w:r w:rsidR="00A460A8">
        <w:rPr>
          <w:rFonts w:ascii="Times New Roman" w:hAnsi="Times New Roman"/>
          <w:spacing w:val="-2"/>
          <w:sz w:val="28"/>
          <w:szCs w:val="28"/>
          <w:lang w:val="pt-BR" w:eastAsia="ar-SA"/>
        </w:rPr>
        <w:t>/</w:t>
      </w:r>
      <w:r w:rsidR="00AE598C" w:rsidRPr="0096488C">
        <w:rPr>
          <w:rFonts w:ascii="Times New Roman" w:hAnsi="Times New Roman"/>
          <w:spacing w:val="-2"/>
          <w:sz w:val="28"/>
          <w:szCs w:val="28"/>
          <w:lang w:val="pt-BR" w:eastAsia="ar-SA"/>
        </w:rPr>
        <w:t>2017 của Bộ Nông nghiệp và Phát triển nông thôn về Hướng dẫn phân loại và đánh giá HTX dành cho các HTX nông nghiệp</w:t>
      </w:r>
      <w:r w:rsidR="007E6E6C" w:rsidRPr="0096488C">
        <w:rPr>
          <w:rFonts w:ascii="Times New Roman" w:hAnsi="Times New Roman"/>
          <w:spacing w:val="-2"/>
          <w:sz w:val="28"/>
          <w:szCs w:val="28"/>
          <w:lang w:val="pt-BR" w:eastAsia="ar-SA"/>
        </w:rPr>
        <w:t xml:space="preserve"> (sau đây viết tắt là Thông tư số 09/2017/TT-BNNPTNT)</w:t>
      </w:r>
      <w:r w:rsidR="00AE598C" w:rsidRPr="0096488C">
        <w:rPr>
          <w:rFonts w:ascii="Times New Roman" w:hAnsi="Times New Roman"/>
          <w:spacing w:val="-2"/>
          <w:sz w:val="28"/>
          <w:szCs w:val="28"/>
          <w:lang w:val="pt-BR" w:eastAsia="ar-SA"/>
        </w:rPr>
        <w:t xml:space="preserve">. Tuy nhiên, các hướng dẫn phân loại tại hai văn bản này thực hiện phân loại theo </w:t>
      </w:r>
      <w:r w:rsidR="00AE598C" w:rsidRPr="0096488C">
        <w:rPr>
          <w:rFonts w:ascii="Times New Roman" w:hAnsi="Times New Roman"/>
          <w:spacing w:val="-2"/>
          <w:sz w:val="28"/>
          <w:szCs w:val="28"/>
          <w:lang w:val="pt-BR" w:eastAsia="ar-SA"/>
        </w:rPr>
        <w:lastRenderedPageBreak/>
        <w:t>từng tiêu chí đơn lẻ (xác định quy mô chỉ theo thành viên, hoặc chỉ theo tổng nguồn vốn</w:t>
      </w:r>
      <w:r w:rsidR="00D83158" w:rsidRPr="0096488C">
        <w:rPr>
          <w:rFonts w:ascii="Times New Roman" w:hAnsi="Times New Roman"/>
          <w:spacing w:val="-2"/>
          <w:sz w:val="28"/>
          <w:szCs w:val="28"/>
          <w:lang w:val="pt-BR" w:eastAsia="ar-SA"/>
        </w:rPr>
        <w:t>,...</w:t>
      </w:r>
      <w:r w:rsidR="00AE598C" w:rsidRPr="0096488C">
        <w:rPr>
          <w:rFonts w:ascii="Times New Roman" w:hAnsi="Times New Roman"/>
          <w:spacing w:val="-2"/>
          <w:sz w:val="28"/>
          <w:szCs w:val="28"/>
          <w:lang w:val="pt-BR" w:eastAsia="ar-SA"/>
        </w:rPr>
        <w:t>), không thống nhất (về các tiêu chí, mức xác định)</w:t>
      </w:r>
      <w:r w:rsidR="00D83158" w:rsidRPr="0096488C">
        <w:rPr>
          <w:rFonts w:ascii="Times New Roman" w:hAnsi="Times New Roman"/>
          <w:spacing w:val="-2"/>
          <w:sz w:val="28"/>
          <w:szCs w:val="28"/>
          <w:lang w:val="pt-BR" w:eastAsia="ar-SA"/>
        </w:rPr>
        <w:t xml:space="preserve">, phân loại theo </w:t>
      </w:r>
      <w:r w:rsidR="009674E7" w:rsidRPr="0096488C">
        <w:rPr>
          <w:rFonts w:ascii="Times New Roman" w:hAnsi="Times New Roman"/>
          <w:spacing w:val="-2"/>
          <w:sz w:val="28"/>
          <w:szCs w:val="28"/>
          <w:lang w:val="pt-BR" w:eastAsia="ar-SA"/>
        </w:rPr>
        <w:t xml:space="preserve">quá </w:t>
      </w:r>
      <w:r w:rsidR="00D83158" w:rsidRPr="0096488C">
        <w:rPr>
          <w:rFonts w:ascii="Times New Roman" w:hAnsi="Times New Roman"/>
          <w:spacing w:val="-2"/>
          <w:sz w:val="28"/>
          <w:szCs w:val="28"/>
          <w:lang w:val="pt-BR" w:eastAsia="ar-SA"/>
        </w:rPr>
        <w:t>nhiều lĩnh vực</w:t>
      </w:r>
      <w:r w:rsidR="00AE598C" w:rsidRPr="0096488C">
        <w:rPr>
          <w:rFonts w:ascii="Times New Roman" w:hAnsi="Times New Roman"/>
          <w:spacing w:val="-2"/>
          <w:sz w:val="28"/>
          <w:szCs w:val="28"/>
          <w:lang w:val="pt-BR" w:eastAsia="ar-SA"/>
        </w:rPr>
        <w:t xml:space="preserve"> dẫn đến thực tế triển khai vướng mắc</w:t>
      </w:r>
      <w:r w:rsidR="00AE598C" w:rsidRPr="0096488C">
        <w:rPr>
          <w:rStyle w:val="FootnoteReference"/>
          <w:rFonts w:ascii="Times New Roman" w:hAnsi="Times New Roman"/>
          <w:spacing w:val="-2"/>
          <w:sz w:val="28"/>
          <w:szCs w:val="28"/>
          <w:lang w:val="pt-BR" w:eastAsia="ar-SA"/>
        </w:rPr>
        <w:footnoteReference w:id="4"/>
      </w:r>
      <w:r w:rsidR="00AE598C" w:rsidRPr="0096488C">
        <w:rPr>
          <w:rFonts w:ascii="Times New Roman" w:hAnsi="Times New Roman"/>
          <w:spacing w:val="-2"/>
          <w:sz w:val="28"/>
          <w:szCs w:val="28"/>
          <w:lang w:val="pt-BR" w:eastAsia="ar-SA"/>
        </w:rPr>
        <w:t xml:space="preserve">; đồng thời không còn phù hợp với quy định về phân loại HTX tại Điều 16 Luật HTX năm 2023. </w:t>
      </w:r>
    </w:p>
    <w:p w14:paraId="3A5ACCAF" w14:textId="41395C47" w:rsidR="00C718CB" w:rsidRPr="0096488C" w:rsidRDefault="00AE598C" w:rsidP="0096488C">
      <w:pPr>
        <w:pStyle w:val="ListParagraph"/>
        <w:spacing w:before="60" w:after="60" w:line="264" w:lineRule="auto"/>
        <w:ind w:left="0" w:firstLine="720"/>
        <w:jc w:val="both"/>
        <w:rPr>
          <w:rFonts w:ascii="Times New Roman" w:hAnsi="Times New Roman"/>
          <w:sz w:val="28"/>
          <w:szCs w:val="28"/>
          <w:lang w:val="pt-BR" w:eastAsia="ar-SA"/>
        </w:rPr>
      </w:pPr>
      <w:r w:rsidRPr="0096488C">
        <w:rPr>
          <w:rFonts w:ascii="Times New Roman" w:hAnsi="Times New Roman"/>
          <w:sz w:val="28"/>
          <w:szCs w:val="28"/>
          <w:lang w:val="pt-BR" w:eastAsia="ar-SA"/>
        </w:rPr>
        <w:t xml:space="preserve">Do chưa có quy định về việc phân loại HTX thành các quy mô khác nhau (siêu nhỏ, nhỏ, vừa và lớn) dựa trên việc tổng hợp các chỉ tiêu về số lượng thành viên chính thức và </w:t>
      </w:r>
      <w:r w:rsidR="00273106" w:rsidRPr="0096488C">
        <w:rPr>
          <w:rFonts w:ascii="Times New Roman" w:hAnsi="Times New Roman"/>
          <w:sz w:val="28"/>
          <w:szCs w:val="28"/>
          <w:lang w:val="pt-BR" w:eastAsia="ar-SA"/>
        </w:rPr>
        <w:t xml:space="preserve">doanh thu hoặc </w:t>
      </w:r>
      <w:r w:rsidRPr="0096488C">
        <w:rPr>
          <w:rFonts w:ascii="Times New Roman" w:hAnsi="Times New Roman"/>
          <w:sz w:val="28"/>
          <w:szCs w:val="28"/>
          <w:lang w:val="pt-BR" w:eastAsia="ar-SA"/>
        </w:rPr>
        <w:t>tổng nguồn vốn, bởi vậy các quy định liên quan đến nhiều vấn đề về tổ chức quản trị, về kiểm toán hay việc áp dụng các chính sách phát triển đối với các HTX, chưa phù hợp với trình độ phát triển của các HTX, điều kiện thực tế của Việt Nam</w:t>
      </w:r>
      <w:r w:rsidRPr="0096488C">
        <w:rPr>
          <w:rStyle w:val="FootnoteReference"/>
          <w:rFonts w:ascii="Times New Roman" w:hAnsi="Times New Roman"/>
          <w:sz w:val="28"/>
          <w:szCs w:val="28"/>
          <w:lang w:val="pt-BR" w:eastAsia="ar-SA"/>
        </w:rPr>
        <w:footnoteReference w:id="5"/>
      </w:r>
      <w:r w:rsidR="00C9007F" w:rsidRPr="0096488C">
        <w:rPr>
          <w:rFonts w:ascii="Times New Roman" w:hAnsi="Times New Roman"/>
          <w:sz w:val="28"/>
          <w:szCs w:val="28"/>
          <w:lang w:val="pt-BR" w:eastAsia="ar-SA"/>
        </w:rPr>
        <w:t>. Luật HTX năm 2023 đã bổ sung nội dung này tại Điều 16 và giao Chính phủ quy định chi tiết</w:t>
      </w:r>
      <w:r w:rsidRPr="0096488C">
        <w:rPr>
          <w:rFonts w:ascii="Times New Roman" w:hAnsi="Times New Roman"/>
          <w:sz w:val="28"/>
          <w:szCs w:val="28"/>
          <w:lang w:val="pt-BR" w:eastAsia="ar-SA"/>
        </w:rPr>
        <w:t>.</w:t>
      </w:r>
    </w:p>
    <w:p w14:paraId="49AF549B" w14:textId="35F8317E" w:rsidR="0007674D" w:rsidRPr="0096488C" w:rsidRDefault="00D83158" w:rsidP="0096488C">
      <w:pPr>
        <w:spacing w:before="60" w:after="60" w:line="264" w:lineRule="auto"/>
        <w:ind w:firstLine="720"/>
        <w:jc w:val="both"/>
        <w:rPr>
          <w:szCs w:val="28"/>
          <w:lang w:val="pt-BR" w:eastAsia="ar-SA"/>
        </w:rPr>
      </w:pPr>
      <w:r w:rsidRPr="0096488C">
        <w:rPr>
          <w:szCs w:val="28"/>
          <w:lang w:val="pt-BR" w:eastAsia="ar-SA"/>
        </w:rPr>
        <w:t>b)</w:t>
      </w:r>
      <w:r w:rsidR="002757F9" w:rsidRPr="0096488C">
        <w:rPr>
          <w:szCs w:val="28"/>
          <w:lang w:val="pt-BR" w:eastAsia="ar-SA"/>
        </w:rPr>
        <w:t xml:space="preserve"> Đối với vấn đề về </w:t>
      </w:r>
      <w:r w:rsidR="0007674D" w:rsidRPr="0096488C">
        <w:rPr>
          <w:szCs w:val="28"/>
          <w:lang w:val="pt-BR" w:eastAsia="ar-SA"/>
        </w:rPr>
        <w:t>chính sách hỗ trợ của Nhà nước phát triển các tổ hợp tác, HTX, liên hiệp HTX:</w:t>
      </w:r>
    </w:p>
    <w:p w14:paraId="4C92F73E" w14:textId="3F07A652" w:rsidR="002757F9" w:rsidRPr="0096488C" w:rsidRDefault="0007674D" w:rsidP="0096488C">
      <w:pPr>
        <w:spacing w:before="60" w:after="60" w:line="264" w:lineRule="auto"/>
        <w:ind w:firstLine="720"/>
        <w:jc w:val="both"/>
        <w:rPr>
          <w:lang w:val="pt-BR" w:eastAsia="ar-SA"/>
        </w:rPr>
      </w:pPr>
      <w:r w:rsidRPr="0096488C">
        <w:rPr>
          <w:szCs w:val="28"/>
          <w:lang w:val="pt-BR" w:eastAsia="ar-SA"/>
        </w:rPr>
        <w:t xml:space="preserve">- Về </w:t>
      </w:r>
      <w:r w:rsidR="002757F9" w:rsidRPr="0096488C">
        <w:rPr>
          <w:szCs w:val="28"/>
          <w:lang w:val="pt-BR" w:eastAsia="ar-SA"/>
        </w:rPr>
        <w:t>tiêu chí</w:t>
      </w:r>
      <w:r w:rsidR="00D83158" w:rsidRPr="0096488C">
        <w:rPr>
          <w:szCs w:val="28"/>
          <w:lang w:val="pt-BR" w:eastAsia="ar-SA"/>
        </w:rPr>
        <w:t xml:space="preserve"> thụ</w:t>
      </w:r>
      <w:r w:rsidR="002757F9" w:rsidRPr="0096488C">
        <w:rPr>
          <w:szCs w:val="28"/>
          <w:lang w:val="pt-BR" w:eastAsia="ar-SA"/>
        </w:rPr>
        <w:t xml:space="preserve"> hưởng chính sách: </w:t>
      </w:r>
      <w:r w:rsidR="002757F9" w:rsidRPr="0096488C">
        <w:rPr>
          <w:lang w:val="pt-BR" w:eastAsia="ar-SA"/>
        </w:rPr>
        <w:t xml:space="preserve">Các tiêu chí thực hiện chính sách hỗ trợ của Nhà nước đối với các tổ hợp tác, HTX, liên hiệp HTX hiện nay về cơ bản chưa có các tiêu chí thể hiện được các đặc trưng, nguyên tắc, giá trị cốt lõi của mô hình HTX, như các tiêu chí về phát triển thành viên, về việc xây dựng và phát triển quỹ chung không chia, tài sản chung không chia, </w:t>
      </w:r>
      <w:r w:rsidR="00BE5392" w:rsidRPr="0096488C">
        <w:rPr>
          <w:lang w:val="pt-BR" w:eastAsia="ar-SA"/>
        </w:rPr>
        <w:t xml:space="preserve">về </w:t>
      </w:r>
      <w:r w:rsidR="002757F9" w:rsidRPr="0096488C">
        <w:rPr>
          <w:lang w:val="pt-BR" w:eastAsia="ar-SA"/>
        </w:rPr>
        <w:t>giáo dục đào tạo</w:t>
      </w:r>
      <w:r w:rsidR="009C4572" w:rsidRPr="0096488C">
        <w:rPr>
          <w:lang w:val="pt-BR" w:eastAsia="ar-SA"/>
        </w:rPr>
        <w:t>, bồi dưỡng</w:t>
      </w:r>
      <w:r w:rsidR="002757F9" w:rsidRPr="0096488C">
        <w:rPr>
          <w:lang w:val="pt-BR" w:eastAsia="ar-SA"/>
        </w:rPr>
        <w:t xml:space="preserve"> cho thành viên, đóng góp cho phát triển cộng đồng, hình thành các chuỗi liên kết,... Do thiếu các tiêu chí hỗ trợ cụ thể nên tình trạng hỗ trợ HTX còn dàn trải, thiếu trọng tâm, trọng điểm, một số hỗ trợ chưa thực sự hiệu quả, thiếu các mô hình điển hình để nhân rộng trong khu vực kinh tế tập thể, HTX.</w:t>
      </w:r>
    </w:p>
    <w:p w14:paraId="7E0122F9" w14:textId="309ECDCA" w:rsidR="0007674D" w:rsidRPr="0096488C" w:rsidRDefault="0007674D" w:rsidP="0096488C">
      <w:pPr>
        <w:spacing w:before="60" w:after="60" w:line="264" w:lineRule="auto"/>
        <w:ind w:firstLine="720"/>
        <w:jc w:val="both"/>
        <w:rPr>
          <w:lang w:val="pt-BR" w:eastAsia="ar-SA"/>
        </w:rPr>
      </w:pPr>
      <w:r w:rsidRPr="0096488C">
        <w:rPr>
          <w:lang w:val="pt-BR" w:eastAsia="ar-SA"/>
        </w:rPr>
        <w:t xml:space="preserve">- Về các chính sách hỗ trợ cụ thể: </w:t>
      </w:r>
    </w:p>
    <w:p w14:paraId="4237AF1D" w14:textId="4ECDAD81" w:rsidR="00084EF4" w:rsidRPr="0096488C" w:rsidRDefault="00A64745" w:rsidP="0096488C">
      <w:pPr>
        <w:spacing w:before="60" w:after="60" w:line="264" w:lineRule="auto"/>
        <w:ind w:firstLine="720"/>
        <w:jc w:val="both"/>
      </w:pPr>
      <w:r w:rsidRPr="0096488C">
        <w:t xml:space="preserve">Chính sách hỗ trợ phát triển kinh tế tập thể, HTX </w:t>
      </w:r>
      <w:r w:rsidR="0034182A" w:rsidRPr="0096488C">
        <w:t xml:space="preserve">trong giai đoạn vừa qua </w:t>
      </w:r>
      <w:r w:rsidRPr="0096488C">
        <w:t>được quy đ</w:t>
      </w:r>
      <w:r w:rsidR="005D2149" w:rsidRPr="0096488C">
        <w:t>ị</w:t>
      </w:r>
      <w:r w:rsidRPr="0096488C">
        <w:t xml:space="preserve">nh tại Điều 6 Luật HTX năm 2012, </w:t>
      </w:r>
      <w:r w:rsidR="00913441" w:rsidRPr="0096488C">
        <w:t>Nghị định số 193/2013/NĐ-CP ngày 21</w:t>
      </w:r>
      <w:r w:rsidR="00A460A8">
        <w:t>/</w:t>
      </w:r>
      <w:r w:rsidR="00913441" w:rsidRPr="0096488C">
        <w:t>11</w:t>
      </w:r>
      <w:r w:rsidR="00A460A8">
        <w:t>/</w:t>
      </w:r>
      <w:r w:rsidR="00913441" w:rsidRPr="0096488C">
        <w:t xml:space="preserve">2013 của Chính phủ quy định chi tiết một số điều của Luật HTX (sau đây viết tắt là Nghị định số 193/2013/NĐ-CP), </w:t>
      </w:r>
      <w:r w:rsidR="00913441" w:rsidRPr="0096488C">
        <w:rPr>
          <w:szCs w:val="28"/>
          <w:lang w:val="vi-VN"/>
        </w:rPr>
        <w:t>Nghị định số 107/2017/NĐ-CP</w:t>
      </w:r>
      <w:r w:rsidR="00913441" w:rsidRPr="0096488C">
        <w:rPr>
          <w:szCs w:val="28"/>
        </w:rPr>
        <w:t xml:space="preserve"> ngày 15</w:t>
      </w:r>
      <w:r w:rsidR="00A460A8">
        <w:rPr>
          <w:szCs w:val="28"/>
        </w:rPr>
        <w:t>/</w:t>
      </w:r>
      <w:r w:rsidR="00913441" w:rsidRPr="0096488C">
        <w:rPr>
          <w:szCs w:val="28"/>
        </w:rPr>
        <w:t>9</w:t>
      </w:r>
      <w:r w:rsidR="00A460A8">
        <w:rPr>
          <w:szCs w:val="28"/>
        </w:rPr>
        <w:t>/</w:t>
      </w:r>
      <w:r w:rsidR="00913441" w:rsidRPr="0096488C">
        <w:rPr>
          <w:szCs w:val="28"/>
        </w:rPr>
        <w:t xml:space="preserve">2017 sửa đổi, bổ sung một số điều của </w:t>
      </w:r>
      <w:r w:rsidR="00913441" w:rsidRPr="0096488C">
        <w:t>Nghị định số 193/2013/NĐ-CP ngày 21</w:t>
      </w:r>
      <w:r w:rsidR="00A460A8">
        <w:t>/</w:t>
      </w:r>
      <w:r w:rsidR="00913441" w:rsidRPr="0096488C">
        <w:t>11</w:t>
      </w:r>
      <w:r w:rsidR="00A460A8">
        <w:t>/</w:t>
      </w:r>
      <w:r w:rsidR="00913441" w:rsidRPr="0096488C">
        <w:t>2013 của Chính phủ quy định chi tiết một số điều của Luật HTX (sau đây viết tắt là Nghị định số 107/2017/NĐ-CP)</w:t>
      </w:r>
      <w:r w:rsidR="00C87A6B" w:rsidRPr="0096488C">
        <w:t>, Quyết định số 2261/QĐ-TTg ngày 15</w:t>
      </w:r>
      <w:r w:rsidR="00A460A8">
        <w:t>/</w:t>
      </w:r>
      <w:r w:rsidR="00C87A6B" w:rsidRPr="0096488C">
        <w:t>12</w:t>
      </w:r>
      <w:r w:rsidR="00A460A8">
        <w:t>/</w:t>
      </w:r>
      <w:r w:rsidR="00C87A6B" w:rsidRPr="0096488C">
        <w:t>2014</w:t>
      </w:r>
      <w:r w:rsidR="00913441" w:rsidRPr="0096488C">
        <w:t xml:space="preserve"> </w:t>
      </w:r>
      <w:r w:rsidR="00027D0B" w:rsidRPr="0096488C">
        <w:t xml:space="preserve">của Thủ tướng Chính phủ về phê duyệt Chương trình hỗ trợ phát triển </w:t>
      </w:r>
      <w:r w:rsidR="00027D0B" w:rsidRPr="0096488C">
        <w:rPr>
          <w:szCs w:val="28"/>
          <w:lang w:val="vi-VN"/>
        </w:rPr>
        <w:t xml:space="preserve">kinh tế tập thể, </w:t>
      </w:r>
      <w:r w:rsidR="00027D0B" w:rsidRPr="0096488C">
        <w:t xml:space="preserve">HTX giai đoạn 2015-2020 </w:t>
      </w:r>
      <w:r w:rsidR="00913441" w:rsidRPr="0096488C">
        <w:t>và</w:t>
      </w:r>
      <w:r w:rsidRPr="0096488C">
        <w:t xml:space="preserve"> Quyết định số 1804/QĐ-TTg ngày 13/11/2020 của Thủ tướng Chính phủ về phê duyệt Chương trình hỗ trợ phát triển</w:t>
      </w:r>
      <w:r w:rsidR="00956A67" w:rsidRPr="0096488C">
        <w:t xml:space="preserve"> </w:t>
      </w:r>
      <w:r w:rsidR="00956A67" w:rsidRPr="0096488C">
        <w:rPr>
          <w:szCs w:val="28"/>
          <w:lang w:val="vi-VN"/>
        </w:rPr>
        <w:t xml:space="preserve">kinh tế tập thể, </w:t>
      </w:r>
      <w:r w:rsidRPr="0096488C">
        <w:t>HTX giai đoạn 2021-2025</w:t>
      </w:r>
      <w:r w:rsidR="00814F69" w:rsidRPr="0096488C">
        <w:t xml:space="preserve"> (sau đây viết tắt là Quyết định số 1804/QĐ-TTg)</w:t>
      </w:r>
      <w:r w:rsidR="00913441" w:rsidRPr="0096488C">
        <w:t>, Quyết định số 167/</w:t>
      </w:r>
      <w:r w:rsidR="008904D1" w:rsidRPr="0096488C">
        <w:t>QĐ-TTg ngày 03</w:t>
      </w:r>
      <w:r w:rsidR="00A460A8">
        <w:t>/</w:t>
      </w:r>
      <w:r w:rsidR="008904D1" w:rsidRPr="0096488C">
        <w:t>02</w:t>
      </w:r>
      <w:r w:rsidR="00A460A8">
        <w:t>/</w:t>
      </w:r>
      <w:r w:rsidR="008904D1" w:rsidRPr="0096488C">
        <w:t>2021 của Thủ tướng Chính phủ</w:t>
      </w:r>
      <w:r w:rsidR="0043417D" w:rsidRPr="0096488C">
        <w:t xml:space="preserve"> về phê duyệt Đề án </w:t>
      </w:r>
      <w:r w:rsidR="00AB2CF1" w:rsidRPr="0096488C">
        <w:t>L</w:t>
      </w:r>
      <w:r w:rsidR="0043417D" w:rsidRPr="0096488C">
        <w:t xml:space="preserve">ựa chọn, hoàn thiện, nhân rộng mô hình HTX </w:t>
      </w:r>
      <w:r w:rsidR="0043417D" w:rsidRPr="0096488C">
        <w:lastRenderedPageBreak/>
        <w:t>kiểu mới hiệu quả tại các địa phương trên cả nước giai đoạn 2021-2025</w:t>
      </w:r>
      <w:r w:rsidR="00814F69" w:rsidRPr="0096488C">
        <w:t xml:space="preserve"> (sau đây viết tắt là Quyết định số 167/QĐ-TTg)</w:t>
      </w:r>
      <w:r w:rsidR="00084EF4" w:rsidRPr="0096488C">
        <w:t xml:space="preserve">. </w:t>
      </w:r>
    </w:p>
    <w:p w14:paraId="01314A37" w14:textId="2E28D10C" w:rsidR="007E4DE9" w:rsidRPr="0096488C" w:rsidRDefault="00084EF4" w:rsidP="000F5F84">
      <w:pPr>
        <w:spacing w:before="60" w:after="60" w:line="264" w:lineRule="auto"/>
        <w:ind w:firstLine="720"/>
        <w:jc w:val="both"/>
        <w:rPr>
          <w:lang w:val="pt-BR" w:eastAsia="ar-SA"/>
        </w:rPr>
      </w:pPr>
      <w:r w:rsidRPr="0096488C">
        <w:t xml:space="preserve">Tuy nhiên, đánh giá kết quả thực hiện các chính sách đã chỉ ra: </w:t>
      </w:r>
      <w:r w:rsidR="00490AFE" w:rsidRPr="0096488C">
        <w:t>việc thực hiện chính sách</w:t>
      </w:r>
      <w:r w:rsidRPr="0096488C">
        <w:t xml:space="preserve"> chỉ đáp ứng được một phần </w:t>
      </w:r>
      <w:r w:rsidR="009674E7" w:rsidRPr="0096488C">
        <w:t xml:space="preserve">nhỏ </w:t>
      </w:r>
      <w:r w:rsidRPr="0096488C">
        <w:t>yêu cầu từ phía HTX</w:t>
      </w:r>
      <w:r w:rsidR="009674E7" w:rsidRPr="0096488C">
        <w:t>,</w:t>
      </w:r>
      <w:r w:rsidRPr="0096488C">
        <w:t xml:space="preserve"> còn dàn trải, chưa đạt hiệu quả và chưa đáp ứng nhu cầu thực tế</w:t>
      </w:r>
      <w:r w:rsidRPr="0096488C">
        <w:rPr>
          <w:rStyle w:val="FootnoteReference"/>
        </w:rPr>
        <w:footnoteReference w:id="6"/>
      </w:r>
      <w:r w:rsidR="00B67CC2" w:rsidRPr="0096488C">
        <w:t xml:space="preserve">; </w:t>
      </w:r>
      <w:r w:rsidR="00AD34D6" w:rsidRPr="0096488C">
        <w:t>n</w:t>
      </w:r>
      <w:r w:rsidR="00AD34D6" w:rsidRPr="0096488C">
        <w:rPr>
          <w:lang w:val="vi-VN"/>
        </w:rPr>
        <w:t xml:space="preserve">hiều </w:t>
      </w:r>
      <w:r w:rsidR="00AD34D6" w:rsidRPr="0096488C">
        <w:rPr>
          <w:lang w:val="pt-BR"/>
        </w:rPr>
        <w:t>nội dung xúc tiến thương mại, mở rộng thị trường chưa được HTX tiếp cận như tuyên truyền xuất khẩu, phát triển</w:t>
      </w:r>
      <w:r w:rsidR="00AD34D6" w:rsidRPr="0096488C">
        <w:rPr>
          <w:lang w:val="vi-VN"/>
        </w:rPr>
        <w:t xml:space="preserve"> sản phẩm, </w:t>
      </w:r>
      <w:r w:rsidR="00AD34D6" w:rsidRPr="0096488C">
        <w:rPr>
          <w:lang w:val="pt-BR"/>
        </w:rPr>
        <w:t>thâm nhập thị trường, thông tin thị trường và kết nối cung cầu</w:t>
      </w:r>
      <w:r w:rsidR="003D0870" w:rsidRPr="0096488C">
        <w:rPr>
          <w:lang w:val="pt-BR"/>
        </w:rPr>
        <w:t>, v.v</w:t>
      </w:r>
      <w:r w:rsidR="00B65D09" w:rsidRPr="0096488C">
        <w:rPr>
          <w:lang w:val="pt-BR"/>
        </w:rPr>
        <w:t>;</w:t>
      </w:r>
      <w:r w:rsidR="00AD34D6" w:rsidRPr="0096488C">
        <w:t xml:space="preserve"> </w:t>
      </w:r>
      <w:r w:rsidR="00B67CC2" w:rsidRPr="0096488C">
        <w:t xml:space="preserve">nguồn vốn hỗ trợ hạn chế, </w:t>
      </w:r>
      <w:r w:rsidR="002664B1" w:rsidRPr="0096488C">
        <w:t>một số chính sách chỉ quy định sử dụng nguồn vốn ngân sách địa phương mà không được sử dụng nguồn vốn từ ngân sách Trung ương</w:t>
      </w:r>
      <w:r w:rsidR="004F318B" w:rsidRPr="0096488C">
        <w:rPr>
          <w:rStyle w:val="FootnoteReference"/>
        </w:rPr>
        <w:footnoteReference w:id="7"/>
      </w:r>
      <w:r w:rsidR="002664B1" w:rsidRPr="0096488C">
        <w:t xml:space="preserve"> nên gây khó khăn đối với các địa phương </w:t>
      </w:r>
      <w:r w:rsidR="00490AFE" w:rsidRPr="0096488C">
        <w:rPr>
          <w:lang w:val="de-DE"/>
        </w:rPr>
        <w:t xml:space="preserve">có nguồn kinh phí </w:t>
      </w:r>
      <w:r w:rsidR="00DE004E" w:rsidRPr="0096488C">
        <w:rPr>
          <w:lang w:val="de-DE"/>
        </w:rPr>
        <w:t xml:space="preserve">hạn chế, không có nguồn kinh phí </w:t>
      </w:r>
      <w:r w:rsidR="00490AFE" w:rsidRPr="0096488C">
        <w:rPr>
          <w:lang w:val="de-DE"/>
        </w:rPr>
        <w:t>riêng bố trí thực hiện mà được lồng ghép từ các nguồn vốn khác</w:t>
      </w:r>
      <w:r w:rsidR="006E0ACB" w:rsidRPr="0096488C">
        <w:t xml:space="preserve">; chưa </w:t>
      </w:r>
      <w:r w:rsidR="006E0ACB" w:rsidRPr="0096488C">
        <w:rPr>
          <w:lang w:val="pt-BR" w:eastAsia="ar-SA"/>
        </w:rPr>
        <w:t>có quy định về chính sách hỗ trợ tư vấn tài chính, đánh giá rủi ro cho các tổ chức kinh tế tập thể</w:t>
      </w:r>
      <w:r w:rsidR="002F74B0" w:rsidRPr="0096488C">
        <w:rPr>
          <w:lang w:val="pt-BR" w:eastAsia="ar-SA"/>
        </w:rPr>
        <w:t>.</w:t>
      </w:r>
      <w:r w:rsidR="00E435F3" w:rsidRPr="0096488C">
        <w:rPr>
          <w:lang w:val="pt-BR" w:eastAsia="ar-SA"/>
        </w:rPr>
        <w:t xml:space="preserve"> </w:t>
      </w:r>
    </w:p>
    <w:p w14:paraId="67AE19B4" w14:textId="3798347E" w:rsidR="002D0CBC" w:rsidRPr="0096488C" w:rsidRDefault="002D0CBC" w:rsidP="0096488C">
      <w:pPr>
        <w:spacing w:before="60" w:after="60" w:line="264" w:lineRule="auto"/>
        <w:ind w:firstLine="720"/>
        <w:jc w:val="both"/>
        <w:rPr>
          <w:lang w:eastAsia="ar-SA"/>
        </w:rPr>
      </w:pPr>
      <w:r w:rsidRPr="0096488C">
        <w:rPr>
          <w:lang w:val="pt-BR" w:eastAsia="ar-SA"/>
        </w:rPr>
        <w:t xml:space="preserve">Bên cạnh đó, hiện nay chưa có chính sách chuyển giao </w:t>
      </w:r>
      <w:r w:rsidR="000E606B" w:rsidRPr="0096488C">
        <w:rPr>
          <w:lang w:val="pt-BR" w:eastAsia="ar-SA"/>
        </w:rPr>
        <w:t xml:space="preserve">một số </w:t>
      </w:r>
      <w:r w:rsidRPr="0096488C">
        <w:rPr>
          <w:lang w:val="pt-BR" w:eastAsia="ar-SA"/>
        </w:rPr>
        <w:t>công trình kết cấu hạ tầng</w:t>
      </w:r>
      <w:r w:rsidR="000E606B" w:rsidRPr="0096488C">
        <w:rPr>
          <w:lang w:val="pt-BR" w:eastAsia="ar-SA"/>
        </w:rPr>
        <w:t xml:space="preserve"> </w:t>
      </w:r>
      <w:r w:rsidR="000E606B" w:rsidRPr="0096488C">
        <w:rPr>
          <w:rFonts w:eastAsia="Times New Roman"/>
          <w:szCs w:val="28"/>
        </w:rPr>
        <w:t>phục vụ lợi ích chung của cộng đồng</w:t>
      </w:r>
      <w:r w:rsidRPr="0096488C">
        <w:rPr>
          <w:lang w:val="pt-BR" w:eastAsia="ar-SA"/>
        </w:rPr>
        <w:t xml:space="preserve">, công trình công cộng </w:t>
      </w:r>
      <w:r w:rsidR="000E606B" w:rsidRPr="0096488C">
        <w:rPr>
          <w:rFonts w:eastAsia="Times New Roman"/>
          <w:szCs w:val="28"/>
        </w:rPr>
        <w:t xml:space="preserve">và cơ sở hạ tầng khác cho tổ hợp tác, </w:t>
      </w:r>
      <w:r w:rsidR="004257B7" w:rsidRPr="0096488C">
        <w:rPr>
          <w:rFonts w:eastAsia="Times New Roman"/>
          <w:szCs w:val="28"/>
        </w:rPr>
        <w:t>HTX</w:t>
      </w:r>
      <w:r w:rsidR="000E606B" w:rsidRPr="0096488C">
        <w:rPr>
          <w:rFonts w:eastAsia="Times New Roman"/>
          <w:szCs w:val="28"/>
        </w:rPr>
        <w:t xml:space="preserve">, liên hiệp </w:t>
      </w:r>
      <w:r w:rsidR="004257B7" w:rsidRPr="0096488C">
        <w:rPr>
          <w:rFonts w:eastAsia="Times New Roman"/>
          <w:szCs w:val="28"/>
        </w:rPr>
        <w:t xml:space="preserve">HTX </w:t>
      </w:r>
      <w:r w:rsidR="000E606B" w:rsidRPr="0096488C">
        <w:rPr>
          <w:rFonts w:eastAsia="Times New Roman"/>
          <w:szCs w:val="28"/>
        </w:rPr>
        <w:t xml:space="preserve">để quản lý, vận hành, duy tu, bảo dưỡng, hoặc để làm trụ sở, nhà kho, cửa hàng mua bán, trưng bày, giới thiệu sản phẩm phục vụ hoạt động sản xuất, kinh doanh của tổ hợp tác, </w:t>
      </w:r>
      <w:r w:rsidR="004257B7" w:rsidRPr="0096488C">
        <w:rPr>
          <w:rFonts w:eastAsia="Times New Roman"/>
          <w:szCs w:val="28"/>
        </w:rPr>
        <w:t>HTX</w:t>
      </w:r>
      <w:r w:rsidR="000E606B" w:rsidRPr="0096488C">
        <w:rPr>
          <w:rFonts w:eastAsia="Times New Roman"/>
          <w:szCs w:val="28"/>
        </w:rPr>
        <w:t xml:space="preserve">, liên hiệp </w:t>
      </w:r>
      <w:r w:rsidR="004257B7" w:rsidRPr="0096488C">
        <w:rPr>
          <w:rFonts w:eastAsia="Times New Roman"/>
          <w:szCs w:val="28"/>
        </w:rPr>
        <w:t>HTX</w:t>
      </w:r>
      <w:r w:rsidR="000E606B" w:rsidRPr="0096488C">
        <w:rPr>
          <w:rFonts w:eastAsia="Times New Roman"/>
          <w:szCs w:val="28"/>
        </w:rPr>
        <w:t>.</w:t>
      </w:r>
      <w:r w:rsidR="00607F41" w:rsidRPr="0096488C">
        <w:rPr>
          <w:rFonts w:eastAsia="Times New Roman"/>
          <w:szCs w:val="28"/>
        </w:rPr>
        <w:t xml:space="preserve"> Chính sách này đã được bổ sung tại khoản 2, 3 Điều 16 Luật </w:t>
      </w:r>
      <w:r w:rsidR="004257B7" w:rsidRPr="0096488C">
        <w:rPr>
          <w:rFonts w:eastAsia="Times New Roman"/>
          <w:szCs w:val="28"/>
        </w:rPr>
        <w:t xml:space="preserve">HTX </w:t>
      </w:r>
      <w:r w:rsidR="00607F41" w:rsidRPr="0096488C">
        <w:rPr>
          <w:rFonts w:eastAsia="Times New Roman"/>
          <w:szCs w:val="28"/>
        </w:rPr>
        <w:t>năm 2023.</w:t>
      </w:r>
    </w:p>
    <w:p w14:paraId="620A3A0F" w14:textId="77777777" w:rsidR="00C13CD0" w:rsidRPr="0096488C" w:rsidRDefault="00C13CD0" w:rsidP="0096488C">
      <w:pPr>
        <w:spacing w:before="60" w:after="60" w:line="264" w:lineRule="auto"/>
        <w:ind w:firstLine="720"/>
        <w:jc w:val="both"/>
        <w:rPr>
          <w:lang w:val="pt-BR" w:eastAsia="ar-SA"/>
        </w:rPr>
      </w:pPr>
      <w:r w:rsidRPr="0096488C">
        <w:rPr>
          <w:lang w:val="nl-NL"/>
        </w:rPr>
        <w:t>c)</w:t>
      </w:r>
      <w:r w:rsidR="00F65BD6" w:rsidRPr="0096488C">
        <w:rPr>
          <w:lang w:val="nl-NL"/>
        </w:rPr>
        <w:t xml:space="preserve"> Đối với vấn đề về </w:t>
      </w:r>
      <w:r w:rsidR="00F65BD6" w:rsidRPr="0096488C">
        <w:t>thành lập doanh nghiệp, góp vốn, mua cổ phần:</w:t>
      </w:r>
      <w:r w:rsidR="00F65BD6" w:rsidRPr="0096488C">
        <w:rPr>
          <w:lang w:val="pt-BR" w:eastAsia="ar-SA"/>
        </w:rPr>
        <w:t xml:space="preserve"> </w:t>
      </w:r>
    </w:p>
    <w:p w14:paraId="410F3E6F" w14:textId="5344B3B2" w:rsidR="00F65BD6" w:rsidRPr="0096488C" w:rsidRDefault="00F65BD6" w:rsidP="0096488C">
      <w:pPr>
        <w:spacing w:before="60" w:after="60" w:line="264" w:lineRule="auto"/>
        <w:ind w:firstLine="720"/>
        <w:jc w:val="both"/>
        <w:rPr>
          <w:lang w:val="pt-BR" w:eastAsia="ar-SA"/>
        </w:rPr>
      </w:pPr>
      <w:r w:rsidRPr="0096488C">
        <w:rPr>
          <w:lang w:val="pt-BR" w:eastAsia="ar-SA"/>
        </w:rPr>
        <w:t xml:space="preserve">Các quy định về thành lập </w:t>
      </w:r>
      <w:r w:rsidRPr="0096488C">
        <w:t>doanh nghiệp, góp vốn, mua cổ phần tham gia doanh nghiệp</w:t>
      </w:r>
      <w:r w:rsidR="00C13CD0" w:rsidRPr="0096488C">
        <w:t xml:space="preserve"> của HTX, liên hiệp HTX</w:t>
      </w:r>
      <w:r w:rsidRPr="0096488C">
        <w:t xml:space="preserve"> đã được quy định tại Luật HTX năm 2012 và Nghị định </w:t>
      </w:r>
      <w:r w:rsidR="007E4DE9" w:rsidRPr="0096488C">
        <w:t xml:space="preserve">số </w:t>
      </w:r>
      <w:r w:rsidRPr="0096488C">
        <w:t>193/2013/NĐ-CP. Tuy nhiên, Báo cáo tổng kết 10 năm thi hành Luật cho thấy các quy định này còn cứng nhắc, c</w:t>
      </w:r>
      <w:r w:rsidR="00C13CD0" w:rsidRPr="0096488C">
        <w:t>an thiệp sâu vào hoạt động sản xuất kinh doanh của HTX, liên hiệp HTX, c</w:t>
      </w:r>
      <w:r w:rsidRPr="0096488C">
        <w:t xml:space="preserve">hưa phù hợp, gây khó khăn cho </w:t>
      </w:r>
      <w:r w:rsidR="00C13CD0" w:rsidRPr="0096488C">
        <w:t>việc</w:t>
      </w:r>
      <w:r w:rsidRPr="0096488C">
        <w:t xml:space="preserve"> tự chủ của HTX, liên hiệp HTX khi muốn thành lập doanh nghiệp, góp vốn, mua cổ phần tham gia doanh nghiệp</w:t>
      </w:r>
      <w:r w:rsidR="00A7523B" w:rsidRPr="0096488C">
        <w:rPr>
          <w:rStyle w:val="FootnoteReference"/>
        </w:rPr>
        <w:footnoteReference w:id="8"/>
      </w:r>
      <w:r w:rsidRPr="0096488C">
        <w:t>; đồng thời chưa</w:t>
      </w:r>
      <w:r w:rsidR="00A7523B" w:rsidRPr="0096488C">
        <w:t xml:space="preserve"> có các quy định</w:t>
      </w:r>
      <w:r w:rsidRPr="0096488C">
        <w:t xml:space="preserve"> làm rõ được mối </w:t>
      </w:r>
      <w:r w:rsidRPr="0096488C">
        <w:lastRenderedPageBreak/>
        <w:t>quan hệ giữa HTX, liên hiệp HTX với doanh nghiệp được thành lập, góp vốn, mua cổ phần</w:t>
      </w:r>
      <w:r w:rsidR="00C13CD0" w:rsidRPr="0096488C">
        <w:t xml:space="preserve"> trong việc quản lý, sử dụng nguồn vốn đóng góp, phân phối lợi nhuận thu được của HTX, liên hiệp HTX</w:t>
      </w:r>
      <w:r w:rsidRPr="0096488C">
        <w:t>.</w:t>
      </w:r>
    </w:p>
    <w:p w14:paraId="5D0193AE" w14:textId="38DBB1D2" w:rsidR="0007674D" w:rsidRPr="0096488C" w:rsidRDefault="0007674D" w:rsidP="0096488C">
      <w:pPr>
        <w:spacing w:before="60" w:after="60" w:line="264" w:lineRule="auto"/>
        <w:ind w:firstLine="720"/>
        <w:jc w:val="both"/>
        <w:rPr>
          <w:kern w:val="28"/>
          <w:lang w:val="pt-BR"/>
        </w:rPr>
      </w:pPr>
      <w:r w:rsidRPr="0096488C">
        <w:rPr>
          <w:lang w:val="nl-NL"/>
        </w:rPr>
        <w:t>d)</w:t>
      </w:r>
      <w:r w:rsidR="00AD4627" w:rsidRPr="0096488C">
        <w:rPr>
          <w:kern w:val="28"/>
          <w:lang w:val="pt-BR"/>
        </w:rPr>
        <w:t xml:space="preserve"> Đối với vấn đề về cho vay nội bộ: </w:t>
      </w:r>
    </w:p>
    <w:p w14:paraId="4ECC228D" w14:textId="0BC10527" w:rsidR="000C78E8" w:rsidRPr="0096488C" w:rsidRDefault="000C78E8" w:rsidP="0096488C">
      <w:pPr>
        <w:spacing w:before="60" w:after="60" w:line="264" w:lineRule="auto"/>
        <w:ind w:firstLine="720"/>
        <w:jc w:val="both"/>
        <w:rPr>
          <w:kern w:val="28"/>
          <w:lang w:val="pt-BR"/>
        </w:rPr>
      </w:pPr>
      <w:r w:rsidRPr="0096488C">
        <w:rPr>
          <w:kern w:val="28"/>
          <w:lang w:val="pt-BR"/>
        </w:rPr>
        <w:t>Hoạt động tín dụng nội bộ của HTX, liên hiệp HTX với thành viên trong thời gian qua về cơ bản đã có tác động tích cực giải quyết các khó khăn, vướng mắc về vốn của HTX, liên hiệp HTX và thành viên</w:t>
      </w:r>
      <w:r w:rsidR="004543DA" w:rsidRPr="0096488C">
        <w:rPr>
          <w:kern w:val="28"/>
          <w:lang w:val="pt-BR"/>
        </w:rPr>
        <w:t>;</w:t>
      </w:r>
      <w:r w:rsidRPr="0096488C">
        <w:rPr>
          <w:kern w:val="28"/>
          <w:lang w:val="pt-BR"/>
        </w:rPr>
        <w:t xml:space="preserve"> góp phần bảo đảm ổn định hoạt động sản xuất, kinh doanh của HTX, liên hiệp HTX và đời sống của thành viên.</w:t>
      </w:r>
      <w:r w:rsidR="000E01E8" w:rsidRPr="0096488C">
        <w:rPr>
          <w:kern w:val="28"/>
          <w:lang w:val="pt-BR"/>
        </w:rPr>
        <w:t xml:space="preserve"> Tuy nhiên, các quy định về hoạt động này không được hướng dẫn cụ thể tại Luật HTX năm 2012 và các văn bản hướng dẫn thi hành đang tạo ra khoảng trống pháp lý </w:t>
      </w:r>
      <w:r w:rsidR="008324F1" w:rsidRPr="0096488C">
        <w:rPr>
          <w:kern w:val="28"/>
          <w:lang w:val="pt-BR"/>
        </w:rPr>
        <w:t xml:space="preserve">và quản lý nhà nước </w:t>
      </w:r>
      <w:r w:rsidR="000E01E8" w:rsidRPr="0096488C">
        <w:rPr>
          <w:kern w:val="28"/>
          <w:lang w:val="pt-BR"/>
        </w:rPr>
        <w:t xml:space="preserve">đối với hoạt động </w:t>
      </w:r>
      <w:r w:rsidR="006D0CF1" w:rsidRPr="0096488C">
        <w:rPr>
          <w:kern w:val="28"/>
          <w:lang w:val="pt-BR"/>
        </w:rPr>
        <w:t>tín dụng nội bộ</w:t>
      </w:r>
      <w:r w:rsidR="000E01E8" w:rsidRPr="0096488C">
        <w:rPr>
          <w:kern w:val="28"/>
          <w:lang w:val="pt-BR"/>
        </w:rPr>
        <w:t>.</w:t>
      </w:r>
      <w:r w:rsidR="002F61A7" w:rsidRPr="0096488C">
        <w:rPr>
          <w:kern w:val="28"/>
          <w:lang w:val="pt-BR"/>
        </w:rPr>
        <w:t xml:space="preserve"> Hiện nay, các HTX, liên hiệp HTX chủ yếu vận dụng các quy định theo </w:t>
      </w:r>
      <w:r w:rsidR="004D01B0" w:rsidRPr="0096488C">
        <w:rPr>
          <w:kern w:val="28"/>
          <w:lang w:val="pt-BR"/>
        </w:rPr>
        <w:t>pháp l</w:t>
      </w:r>
      <w:r w:rsidR="002F61A7" w:rsidRPr="0096488C">
        <w:rPr>
          <w:kern w:val="28"/>
          <w:lang w:val="pt-BR"/>
        </w:rPr>
        <w:t>uật HTX năm 2003 để thực hiện hoạt động tín dụng nội bộ của mình</w:t>
      </w:r>
      <w:r w:rsidR="00101FD2" w:rsidRPr="0096488C">
        <w:rPr>
          <w:rStyle w:val="FootnoteReference"/>
          <w:kern w:val="28"/>
          <w:lang w:val="pt-BR"/>
        </w:rPr>
        <w:footnoteReference w:id="9"/>
      </w:r>
      <w:r w:rsidR="002F61A7" w:rsidRPr="0096488C">
        <w:rPr>
          <w:kern w:val="28"/>
          <w:lang w:val="pt-BR"/>
        </w:rPr>
        <w:t>.</w:t>
      </w:r>
    </w:p>
    <w:p w14:paraId="4B7DB754" w14:textId="1F6B1299" w:rsidR="007B6F5C" w:rsidRPr="0096488C" w:rsidRDefault="008324F1" w:rsidP="0096488C">
      <w:pPr>
        <w:spacing w:before="60" w:after="60" w:line="264" w:lineRule="auto"/>
        <w:ind w:firstLine="720"/>
        <w:jc w:val="both"/>
        <w:rPr>
          <w:szCs w:val="28"/>
        </w:rPr>
      </w:pPr>
      <w:r w:rsidRPr="0096488C">
        <w:rPr>
          <w:kern w:val="28"/>
          <w:lang w:val="pt-BR"/>
        </w:rPr>
        <w:t>Luật HTX năm 2023 đã bãi bỏ quy định về hoạt động tín dụng nội bộ tại Luật HTX năm 2012 và thay thế bởi quy định về huy động vốn tại Điều 79 và các nguyên tắc cơ bản của hoạt động cho vay nội bộ tại Điều 83</w:t>
      </w:r>
      <w:r w:rsidR="003667A9" w:rsidRPr="0096488C">
        <w:rPr>
          <w:kern w:val="28"/>
          <w:lang w:val="pt-BR"/>
        </w:rPr>
        <w:t xml:space="preserve">. Theo đó, hoạt động </w:t>
      </w:r>
      <w:r w:rsidR="003667A9" w:rsidRPr="0096488C">
        <w:rPr>
          <w:szCs w:val="28"/>
        </w:rPr>
        <w:t>cho vay nội bộ không phải là hoạt động ngân hàng theo quy định của pháp luật về các tổ chức tín dụng</w:t>
      </w:r>
      <w:r w:rsidR="003667A9" w:rsidRPr="0096488C">
        <w:rPr>
          <w:kern w:val="28"/>
          <w:lang w:val="pt-BR"/>
        </w:rPr>
        <w:t xml:space="preserve">; đồng thời giao Chính phủ quy định chi tiết về điều kiện, </w:t>
      </w:r>
      <w:r w:rsidR="003667A9" w:rsidRPr="0096488C">
        <w:rPr>
          <w:szCs w:val="28"/>
        </w:rPr>
        <w:t>mức cho vay, giới hạn cho vay, lãi suất, xử lý rủi ro từ hoạt động cho vay nội bộ.</w:t>
      </w:r>
    </w:p>
    <w:p w14:paraId="537D6125" w14:textId="77777777" w:rsidR="002E548A" w:rsidRPr="0096488C" w:rsidRDefault="00361F48" w:rsidP="0096488C">
      <w:pPr>
        <w:spacing w:before="60" w:after="60" w:line="264" w:lineRule="auto"/>
        <w:ind w:firstLine="720"/>
        <w:jc w:val="both"/>
        <w:rPr>
          <w:kern w:val="28"/>
          <w:lang w:val="pt-BR"/>
        </w:rPr>
      </w:pPr>
      <w:r w:rsidRPr="0096488C">
        <w:rPr>
          <w:kern w:val="28"/>
          <w:lang w:val="pt-BR"/>
        </w:rPr>
        <w:t>đ)</w:t>
      </w:r>
      <w:r w:rsidR="001A19FA" w:rsidRPr="0096488C">
        <w:rPr>
          <w:kern w:val="28"/>
          <w:lang w:val="pt-BR"/>
        </w:rPr>
        <w:t xml:space="preserve"> Đối với vấn đề về giao dịch nội bộ: </w:t>
      </w:r>
    </w:p>
    <w:p w14:paraId="5A01C828" w14:textId="4E1EFE87" w:rsidR="004E11C8" w:rsidRPr="0096488C" w:rsidRDefault="004E11C8" w:rsidP="0096488C">
      <w:pPr>
        <w:spacing w:before="60" w:after="60" w:line="264" w:lineRule="auto"/>
        <w:ind w:firstLine="720"/>
        <w:jc w:val="both"/>
        <w:rPr>
          <w:kern w:val="28"/>
          <w:lang w:val="pt-BR"/>
        </w:rPr>
      </w:pPr>
      <w:r w:rsidRPr="0096488C">
        <w:rPr>
          <w:kern w:val="28"/>
          <w:lang w:val="pt-BR"/>
        </w:rPr>
        <w:t>Luật HTX năm 2012</w:t>
      </w:r>
      <w:r w:rsidR="00F2648B" w:rsidRPr="0096488C">
        <w:rPr>
          <w:kern w:val="28"/>
          <w:lang w:val="pt-BR"/>
        </w:rPr>
        <w:t xml:space="preserve"> </w:t>
      </w:r>
      <w:r w:rsidR="00C14882" w:rsidRPr="0096488C">
        <w:rPr>
          <w:kern w:val="28"/>
          <w:lang w:val="pt-BR"/>
        </w:rPr>
        <w:t xml:space="preserve">chỉ </w:t>
      </w:r>
      <w:r w:rsidR="00F2648B" w:rsidRPr="0096488C">
        <w:rPr>
          <w:kern w:val="28"/>
          <w:lang w:val="pt-BR"/>
        </w:rPr>
        <w:t xml:space="preserve">quy định về sản phẩm, dịch vụ của HTX, liên hiệp HTX cung ứng cho thành viên gồm các hoạt động: mua chung, bán chung sản phẩm, dịch vụ; mua/ bán sản phẩm, dịch vụ từ/cho thành viên; chế biến sản phẩm của thành viên; cung ứng phương tiện, kết cấu hạ tầng kỹ thuật phục vụ thành viên; tín dụng cho thành viên; tạo việc </w:t>
      </w:r>
      <w:r w:rsidR="00E04070" w:rsidRPr="0096488C">
        <w:rPr>
          <w:kern w:val="28"/>
          <w:lang w:val="pt-BR"/>
        </w:rPr>
        <w:t>làm</w:t>
      </w:r>
      <w:r w:rsidR="00F2648B" w:rsidRPr="0096488C">
        <w:rPr>
          <w:kern w:val="28"/>
          <w:lang w:val="pt-BR"/>
        </w:rPr>
        <w:t>; các hoạt động khác theo quy định của điều lệ</w:t>
      </w:r>
      <w:r w:rsidR="0066287E" w:rsidRPr="0096488C">
        <w:rPr>
          <w:kern w:val="28"/>
          <w:lang w:val="pt-BR"/>
        </w:rPr>
        <w:t xml:space="preserve">. Tuy nhiên, việc xác định hoạt động mua chung, bán chung là gì chưa rõ; việc quy định các hoạt động khác theo điều lệ </w:t>
      </w:r>
      <w:r w:rsidR="00FA7061" w:rsidRPr="0096488C">
        <w:rPr>
          <w:kern w:val="28"/>
          <w:lang w:val="pt-BR"/>
        </w:rPr>
        <w:t>quá rộng; đồng thời các quy định này chưa tính đến việc HTX, liên hiệp HTX tự tổ chức sản xuất các sản phẩm, dịch vụ để cung ứng cho thành viên, hay thực hiện các hoạt động sơ chế, bảo quản, đóng gói</w:t>
      </w:r>
      <w:r w:rsidR="00E160FE" w:rsidRPr="0096488C">
        <w:rPr>
          <w:kern w:val="28"/>
          <w:lang w:val="pt-BR"/>
        </w:rPr>
        <w:t xml:space="preserve"> sản phẩm của thành viên</w:t>
      </w:r>
      <w:r w:rsidR="00827C65" w:rsidRPr="0096488C">
        <w:rPr>
          <w:kern w:val="28"/>
          <w:lang w:val="pt-BR"/>
        </w:rPr>
        <w:t>, cũng như cách tính thu nhập từ hoạt động này để có chính sách hỗ trợ phù hợp.</w:t>
      </w:r>
    </w:p>
    <w:p w14:paraId="253115A1" w14:textId="7C7D55A7" w:rsidR="001A19FA" w:rsidRPr="0096488C" w:rsidRDefault="001A19FA" w:rsidP="0096488C">
      <w:pPr>
        <w:spacing w:before="60" w:after="60" w:line="264" w:lineRule="auto"/>
        <w:ind w:firstLine="720"/>
        <w:jc w:val="both"/>
        <w:rPr>
          <w:kern w:val="28"/>
          <w:lang w:val="pt-BR"/>
        </w:rPr>
      </w:pPr>
      <w:r w:rsidRPr="0096488C">
        <w:rPr>
          <w:kern w:val="28"/>
          <w:lang w:val="pt-BR"/>
        </w:rPr>
        <w:t xml:space="preserve">Luật HTX năm 2023 </w:t>
      </w:r>
      <w:r w:rsidR="004257B7" w:rsidRPr="0096488C">
        <w:rPr>
          <w:kern w:val="28"/>
          <w:lang w:val="pt-BR"/>
        </w:rPr>
        <w:t xml:space="preserve">đã </w:t>
      </w:r>
      <w:r w:rsidRPr="0096488C">
        <w:rPr>
          <w:kern w:val="28"/>
          <w:lang w:val="pt-BR"/>
        </w:rPr>
        <w:t>bổ sung</w:t>
      </w:r>
      <w:r w:rsidR="00AD6B7A" w:rsidRPr="0096488C">
        <w:rPr>
          <w:kern w:val="28"/>
          <w:lang w:val="pt-BR"/>
        </w:rPr>
        <w:t>, làm rõ các</w:t>
      </w:r>
      <w:r w:rsidRPr="0096488C">
        <w:rPr>
          <w:kern w:val="28"/>
          <w:lang w:val="pt-BR"/>
        </w:rPr>
        <w:t xml:space="preserve"> quy định liên quan đến giao dịch </w:t>
      </w:r>
      <w:r w:rsidR="00AD6B7A" w:rsidRPr="0096488C">
        <w:rPr>
          <w:kern w:val="28"/>
          <w:lang w:val="pt-BR"/>
        </w:rPr>
        <w:t>giữa HTX, liên hiệp HTX với thành viên chính thức</w:t>
      </w:r>
      <w:r w:rsidRPr="0096488C">
        <w:rPr>
          <w:kern w:val="28"/>
          <w:lang w:val="pt-BR"/>
        </w:rPr>
        <w:t xml:space="preserve"> và có chính sách ưu đãi đối với các thu nhập từ giao dịch nội bộ so với các quy định tại Luật HTX </w:t>
      </w:r>
      <w:r w:rsidR="00AD6B7A" w:rsidRPr="0096488C">
        <w:rPr>
          <w:kern w:val="28"/>
          <w:lang w:val="pt-BR"/>
        </w:rPr>
        <w:t xml:space="preserve">năm 2012 </w:t>
      </w:r>
      <w:r w:rsidRPr="0096488C">
        <w:rPr>
          <w:kern w:val="28"/>
          <w:lang w:val="pt-BR"/>
        </w:rPr>
        <w:t xml:space="preserve">và các văn bản chính sách liên quan hiện hành. Các quy định cụ thể về xác </w:t>
      </w:r>
      <w:r w:rsidRPr="0096488C">
        <w:rPr>
          <w:kern w:val="28"/>
          <w:lang w:val="pt-BR"/>
        </w:rPr>
        <w:lastRenderedPageBreak/>
        <w:t>định giao dịch nội bộ và thu nhập từ giao dịch nội bộ được Luật HTX năm 2023</w:t>
      </w:r>
      <w:r w:rsidR="002E548A" w:rsidRPr="0096488C">
        <w:rPr>
          <w:kern w:val="28"/>
          <w:lang w:val="pt-BR"/>
        </w:rPr>
        <w:t xml:space="preserve"> giao cho Chính phủ quy định c</w:t>
      </w:r>
      <w:r w:rsidR="00DD70BE" w:rsidRPr="0096488C">
        <w:rPr>
          <w:kern w:val="28"/>
          <w:lang w:val="pt-BR"/>
        </w:rPr>
        <w:t>hi tiết</w:t>
      </w:r>
      <w:r w:rsidRPr="0096488C">
        <w:rPr>
          <w:kern w:val="28"/>
          <w:lang w:val="pt-BR"/>
        </w:rPr>
        <w:t xml:space="preserve"> tại Nghị định này.</w:t>
      </w:r>
    </w:p>
    <w:p w14:paraId="1EE8E743" w14:textId="00B0E94B" w:rsidR="008D289D" w:rsidRPr="0096488C" w:rsidRDefault="00361F48" w:rsidP="0096488C">
      <w:pPr>
        <w:spacing w:before="60" w:after="60" w:line="264" w:lineRule="auto"/>
        <w:ind w:firstLine="720"/>
        <w:jc w:val="both"/>
        <w:rPr>
          <w:kern w:val="28"/>
          <w:lang w:val="pt-BR"/>
        </w:rPr>
      </w:pPr>
      <w:r w:rsidRPr="0096488C">
        <w:rPr>
          <w:kern w:val="28"/>
          <w:lang w:val="pt-BR"/>
        </w:rPr>
        <w:t>e)</w:t>
      </w:r>
      <w:r w:rsidR="001A19FA" w:rsidRPr="0096488C">
        <w:rPr>
          <w:kern w:val="28"/>
          <w:lang w:val="pt-BR"/>
        </w:rPr>
        <w:t xml:space="preserve"> Đối với vấn đề về </w:t>
      </w:r>
      <w:r w:rsidR="001A19FA" w:rsidRPr="0096488C">
        <w:rPr>
          <w:rFonts w:cs="Times New Roman"/>
          <w:szCs w:val="28"/>
        </w:rPr>
        <w:t xml:space="preserve">xử lý tài sản </w:t>
      </w:r>
      <w:r w:rsidR="00020BCA" w:rsidRPr="0096488C">
        <w:rPr>
          <w:rFonts w:cs="Times New Roman"/>
          <w:szCs w:val="28"/>
        </w:rPr>
        <w:t>của HTX, liên hiệp HTX khi giải thể, phá sản, trong đó có xử l</w:t>
      </w:r>
      <w:r w:rsidR="004257B7" w:rsidRPr="0096488C">
        <w:rPr>
          <w:rFonts w:cs="Times New Roman"/>
          <w:szCs w:val="28"/>
        </w:rPr>
        <w:t>ý</w:t>
      </w:r>
      <w:r w:rsidR="00020BCA" w:rsidRPr="0096488C">
        <w:rPr>
          <w:rFonts w:cs="Times New Roman"/>
          <w:szCs w:val="28"/>
        </w:rPr>
        <w:t xml:space="preserve"> quỹ chung không chia, tài sản </w:t>
      </w:r>
      <w:r w:rsidR="001A19FA" w:rsidRPr="0096488C">
        <w:rPr>
          <w:rFonts w:cs="Times New Roman"/>
          <w:szCs w:val="28"/>
        </w:rPr>
        <w:t>chung không chia theo nguồn hình thành:</w:t>
      </w:r>
      <w:r w:rsidR="001A19FA" w:rsidRPr="0096488C">
        <w:rPr>
          <w:kern w:val="28"/>
          <w:lang w:val="pt-BR"/>
        </w:rPr>
        <w:t xml:space="preserve"> </w:t>
      </w:r>
    </w:p>
    <w:p w14:paraId="3140B87C" w14:textId="7577F888" w:rsidR="00DD0B93" w:rsidRPr="0096488C" w:rsidRDefault="00F25FEF" w:rsidP="0096488C">
      <w:pPr>
        <w:spacing w:before="60" w:after="60" w:line="264" w:lineRule="auto"/>
        <w:ind w:firstLine="720"/>
        <w:jc w:val="both"/>
        <w:rPr>
          <w:kern w:val="28"/>
          <w:lang w:val="pt-BR"/>
        </w:rPr>
      </w:pPr>
      <w:r w:rsidRPr="0096488C">
        <w:rPr>
          <w:kern w:val="28"/>
          <w:lang w:val="pt-BR"/>
        </w:rPr>
        <w:t>Hiện nay</w:t>
      </w:r>
      <w:r w:rsidR="007E4DE9" w:rsidRPr="0096488C">
        <w:rPr>
          <w:kern w:val="28"/>
          <w:lang w:val="pt-BR"/>
        </w:rPr>
        <w:t xml:space="preserve"> Nghị định</w:t>
      </w:r>
      <w:r w:rsidR="00A32F77" w:rsidRPr="0096488C">
        <w:rPr>
          <w:kern w:val="28"/>
          <w:lang w:val="pt-BR"/>
        </w:rPr>
        <w:t xml:space="preserve"> số</w:t>
      </w:r>
      <w:r w:rsidR="007E4DE9" w:rsidRPr="0096488C">
        <w:rPr>
          <w:kern w:val="28"/>
          <w:lang w:val="pt-BR"/>
        </w:rPr>
        <w:t xml:space="preserve"> 193/2013/NĐ-CP</w:t>
      </w:r>
      <w:r w:rsidR="00DD0B93" w:rsidRPr="0096488C">
        <w:rPr>
          <w:kern w:val="28"/>
          <w:lang w:val="pt-BR"/>
        </w:rPr>
        <w:t>,</w:t>
      </w:r>
      <w:r w:rsidR="007E4DE9" w:rsidRPr="0096488C">
        <w:rPr>
          <w:kern w:val="28"/>
          <w:lang w:val="pt-BR"/>
        </w:rPr>
        <w:t xml:space="preserve"> Nghị định </w:t>
      </w:r>
      <w:r w:rsidR="00A32F77" w:rsidRPr="0096488C">
        <w:rPr>
          <w:kern w:val="28"/>
          <w:lang w:val="pt-BR"/>
        </w:rPr>
        <w:t xml:space="preserve">số </w:t>
      </w:r>
      <w:r w:rsidR="007E4DE9" w:rsidRPr="0096488C">
        <w:rPr>
          <w:kern w:val="28"/>
          <w:lang w:val="pt-BR"/>
        </w:rPr>
        <w:t xml:space="preserve">107/2017/NĐ-CP, Thông tư </w:t>
      </w:r>
      <w:r w:rsidR="00A32F77" w:rsidRPr="0096488C">
        <w:rPr>
          <w:kern w:val="28"/>
          <w:lang w:val="pt-BR"/>
        </w:rPr>
        <w:t xml:space="preserve">số </w:t>
      </w:r>
      <w:r w:rsidR="007E4DE9" w:rsidRPr="0096488C">
        <w:rPr>
          <w:kern w:val="28"/>
          <w:lang w:val="pt-BR"/>
        </w:rPr>
        <w:t>3</w:t>
      </w:r>
      <w:r w:rsidR="00820BE6" w:rsidRPr="0096488C">
        <w:rPr>
          <w:kern w:val="28"/>
          <w:lang w:val="pt-BR"/>
        </w:rPr>
        <w:t>1</w:t>
      </w:r>
      <w:r w:rsidR="007E4DE9" w:rsidRPr="0096488C">
        <w:rPr>
          <w:kern w:val="28"/>
          <w:lang w:val="pt-BR"/>
        </w:rPr>
        <w:t>/2018/TT-BTC</w:t>
      </w:r>
      <w:r w:rsidR="008250D4" w:rsidRPr="0096488C">
        <w:rPr>
          <w:rStyle w:val="FootnoteReference"/>
          <w:kern w:val="28"/>
          <w:lang w:val="pt-BR"/>
        </w:rPr>
        <w:footnoteReference w:id="10"/>
      </w:r>
      <w:r w:rsidR="00820BE6" w:rsidRPr="0096488C">
        <w:rPr>
          <w:kern w:val="28"/>
          <w:lang w:val="pt-BR"/>
        </w:rPr>
        <w:t xml:space="preserve"> </w:t>
      </w:r>
      <w:r w:rsidRPr="0096488C">
        <w:t>quy định</w:t>
      </w:r>
      <w:r w:rsidR="008250D4" w:rsidRPr="0096488C">
        <w:t xml:space="preserve"> nguyên tắc xử lý tài sản không chia được hình thành từ quỹ đầu tư phát triển hàng năm</w:t>
      </w:r>
      <w:r w:rsidR="00BB0A03" w:rsidRPr="0096488C">
        <w:t xml:space="preserve"> của HTX, liên hiệp HTX</w:t>
      </w:r>
      <w:r w:rsidR="008250D4" w:rsidRPr="0096488C">
        <w:t>, khoản được tặng, cho theo thỏa thuận là tài sản không chia; vốn, tài sản khác được điều lệ quy định là tài sản không chia khi HTX, liên hiệp HTX</w:t>
      </w:r>
      <w:r w:rsidR="008250D4" w:rsidRPr="0096488C">
        <w:rPr>
          <w:kern w:val="28"/>
          <w:lang w:val="pt-BR"/>
        </w:rPr>
        <w:t xml:space="preserve"> </w:t>
      </w:r>
      <w:r w:rsidR="008250D4" w:rsidRPr="0096488C">
        <w:t xml:space="preserve">chấm dứt hoạt động thì </w:t>
      </w:r>
      <w:r w:rsidR="00BB0A03" w:rsidRPr="0096488C">
        <w:t>phải</w:t>
      </w:r>
      <w:r w:rsidR="008250D4" w:rsidRPr="0096488C">
        <w:t xml:space="preserve"> chuyển giao cho chính quyền địa phương hoặc một tổ chức khác (ưu tiên bàn giao lại cho các </w:t>
      </w:r>
      <w:r w:rsidR="008309B7" w:rsidRPr="0096488C">
        <w:t>HTX</w:t>
      </w:r>
      <w:r w:rsidR="008250D4" w:rsidRPr="0096488C">
        <w:t xml:space="preserve">, liên hiệp </w:t>
      </w:r>
      <w:r w:rsidR="008309B7" w:rsidRPr="0096488C">
        <w:t>HTX</w:t>
      </w:r>
      <w:r w:rsidR="008250D4" w:rsidRPr="0096488C">
        <w:t xml:space="preserve"> khác) nằm trên địa bàn nhằm mục tiêu phục vụ lợi ích cộng đồng dân cư tại địa bàn.</w:t>
      </w:r>
      <w:r w:rsidR="002846C6" w:rsidRPr="0096488C">
        <w:t xml:space="preserve"> Quy định này làm ảnh hưởng đến quyền tài sản hợp pháp của các cá nhân, tổ chức</w:t>
      </w:r>
      <w:r w:rsidR="00E169B8" w:rsidRPr="0096488C">
        <w:t xml:space="preserve"> theo quy định tại Điều 3</w:t>
      </w:r>
      <w:r w:rsidR="000C1F11" w:rsidRPr="0096488C">
        <w:t>2</w:t>
      </w:r>
      <w:r w:rsidR="00E169B8" w:rsidRPr="0096488C">
        <w:t>, 5</w:t>
      </w:r>
      <w:r w:rsidR="000C1F11" w:rsidRPr="0096488C">
        <w:t>1</w:t>
      </w:r>
      <w:r w:rsidR="00E169B8" w:rsidRPr="0096488C">
        <w:t xml:space="preserve"> của Hiến pháp</w:t>
      </w:r>
      <w:r w:rsidR="002846C6" w:rsidRPr="0096488C">
        <w:t>.</w:t>
      </w:r>
    </w:p>
    <w:p w14:paraId="2F763753" w14:textId="263B2F7F" w:rsidR="001A19FA" w:rsidRPr="0096488C" w:rsidRDefault="001A19FA" w:rsidP="0096488C">
      <w:pPr>
        <w:spacing w:before="60" w:after="60" w:line="264" w:lineRule="auto"/>
        <w:ind w:firstLine="720"/>
        <w:jc w:val="both"/>
        <w:rPr>
          <w:kern w:val="28"/>
          <w:lang w:val="pt-BR"/>
        </w:rPr>
      </w:pPr>
      <w:r w:rsidRPr="0096488C">
        <w:rPr>
          <w:kern w:val="28"/>
          <w:lang w:val="pt-BR"/>
        </w:rPr>
        <w:t>Quy định tại Điều 99, 101</w:t>
      </w:r>
      <w:r w:rsidR="008D289D" w:rsidRPr="0096488C">
        <w:rPr>
          <w:kern w:val="28"/>
          <w:lang w:val="pt-BR"/>
        </w:rPr>
        <w:t xml:space="preserve"> Luật HTX năm 2023 </w:t>
      </w:r>
      <w:r w:rsidR="00193D0F" w:rsidRPr="0096488C">
        <w:rPr>
          <w:kern w:val="28"/>
          <w:lang w:val="pt-BR"/>
        </w:rPr>
        <w:t xml:space="preserve">đã sửa đổi, </w:t>
      </w:r>
      <w:r w:rsidR="008D289D" w:rsidRPr="0096488C">
        <w:rPr>
          <w:kern w:val="28"/>
          <w:lang w:val="pt-BR"/>
        </w:rPr>
        <w:t xml:space="preserve">đưa ra các nguyên tắc, nội dung lớn </w:t>
      </w:r>
      <w:r w:rsidRPr="0096488C">
        <w:rPr>
          <w:kern w:val="28"/>
          <w:lang w:val="pt-BR"/>
        </w:rPr>
        <w:t>về xử lý</w:t>
      </w:r>
      <w:r w:rsidR="00280015" w:rsidRPr="0096488C">
        <w:rPr>
          <w:kern w:val="28"/>
          <w:lang w:val="pt-BR"/>
        </w:rPr>
        <w:t xml:space="preserve"> quỹ chung không chia,</w:t>
      </w:r>
      <w:r w:rsidRPr="0096488C">
        <w:rPr>
          <w:kern w:val="28"/>
          <w:lang w:val="pt-BR"/>
        </w:rPr>
        <w:t xml:space="preserve"> tài sản chung không chia của HTX, liên hiệp HTX theo nguồn hình thành khi</w:t>
      </w:r>
      <w:r w:rsidR="008D289D" w:rsidRPr="0096488C">
        <w:rPr>
          <w:kern w:val="28"/>
          <w:lang w:val="pt-BR"/>
        </w:rPr>
        <w:t xml:space="preserve"> HTX, liên hiệp HTX</w:t>
      </w:r>
      <w:r w:rsidRPr="0096488C">
        <w:rPr>
          <w:kern w:val="28"/>
          <w:lang w:val="pt-BR"/>
        </w:rPr>
        <w:t xml:space="preserve"> giải thể, phá sản</w:t>
      </w:r>
      <w:r w:rsidR="00280015" w:rsidRPr="0096488C">
        <w:rPr>
          <w:kern w:val="28"/>
          <w:lang w:val="pt-BR"/>
        </w:rPr>
        <w:t xml:space="preserve"> theo hướng: xử lý các phần quỹ chung không chia, tài sản chung không chia có nguồn hình thành từ tích lũy của HTX, liên hiệp HTX, từ đóng góp của thành viên HTX, liên hiệp HTX thì do HTX, liên hiệp HTX quyết định; các phần quỹ chung không chia, tài sản chung không chia có nguồn hình thành từ hỗ trợ của Nhà nước thì bàn giao lại cho Nhà nước; các phần từ tặng, cho, tài trợ hợp pháp của các cá nhân, tổ chức khác thì xử lý theo thỏa thuận giữa HTX, liên hiệp HTX với các cá nhân, tổ chức</w:t>
      </w:r>
      <w:r w:rsidR="000201E4" w:rsidRPr="0096488C">
        <w:rPr>
          <w:kern w:val="28"/>
          <w:lang w:val="pt-BR"/>
        </w:rPr>
        <w:t xml:space="preserve"> đó</w:t>
      </w:r>
      <w:r w:rsidR="008D289D" w:rsidRPr="0096488C">
        <w:rPr>
          <w:kern w:val="28"/>
          <w:lang w:val="pt-BR"/>
        </w:rPr>
        <w:t>. Các nội dung cụ thể liên quan đến xử lý các tài sản này,</w:t>
      </w:r>
      <w:r w:rsidRPr="0096488C">
        <w:rPr>
          <w:kern w:val="28"/>
          <w:lang w:val="pt-BR"/>
        </w:rPr>
        <w:t xml:space="preserve"> nhất là đối với các tài sản có nguồn hỗn hợp từ cả hỗ trợ của Nhà nước và các nguồn khác</w:t>
      </w:r>
      <w:r w:rsidR="008D289D" w:rsidRPr="0096488C">
        <w:rPr>
          <w:kern w:val="28"/>
          <w:lang w:val="pt-BR"/>
        </w:rPr>
        <w:t xml:space="preserve"> được giao cho Chính phủ quy định</w:t>
      </w:r>
      <w:r w:rsidRPr="0096488C">
        <w:rPr>
          <w:kern w:val="28"/>
          <w:lang w:val="pt-BR"/>
        </w:rPr>
        <w:t>.</w:t>
      </w:r>
    </w:p>
    <w:p w14:paraId="51756EE7" w14:textId="77777777" w:rsidR="008D289D" w:rsidRPr="0096488C" w:rsidRDefault="00361F48" w:rsidP="0096488C">
      <w:pPr>
        <w:spacing w:before="60" w:after="60" w:line="264" w:lineRule="auto"/>
        <w:ind w:firstLine="720"/>
        <w:jc w:val="both"/>
        <w:rPr>
          <w:kern w:val="28"/>
          <w:lang w:val="pt-BR"/>
        </w:rPr>
      </w:pPr>
      <w:r w:rsidRPr="0096488C">
        <w:rPr>
          <w:kern w:val="28"/>
          <w:lang w:val="pt-BR"/>
        </w:rPr>
        <w:t>g)</w:t>
      </w:r>
      <w:r w:rsidR="000D5B37" w:rsidRPr="0096488C">
        <w:rPr>
          <w:kern w:val="28"/>
          <w:lang w:val="pt-BR"/>
        </w:rPr>
        <w:t xml:space="preserve"> Đối với vấn đề về tổ hợp tác: </w:t>
      </w:r>
    </w:p>
    <w:p w14:paraId="7783596A" w14:textId="7CC96D69" w:rsidR="000D5B37" w:rsidRPr="0096488C" w:rsidRDefault="000D5B37" w:rsidP="0096488C">
      <w:pPr>
        <w:spacing w:before="60" w:after="60" w:line="264" w:lineRule="auto"/>
        <w:ind w:firstLine="720"/>
        <w:jc w:val="both"/>
        <w:rPr>
          <w:kern w:val="28"/>
          <w:lang w:val="pt-BR"/>
        </w:rPr>
      </w:pPr>
      <w:r w:rsidRPr="0096488C">
        <w:rPr>
          <w:kern w:val="28"/>
          <w:lang w:val="pt-BR"/>
        </w:rPr>
        <w:t xml:space="preserve">Hiện nay </w:t>
      </w:r>
      <w:r w:rsidR="00F2760C" w:rsidRPr="0096488C">
        <w:rPr>
          <w:kern w:val="28"/>
          <w:lang w:val="pt-BR"/>
        </w:rPr>
        <w:t xml:space="preserve">tổ hợp tác đang được điều chỉnh </w:t>
      </w:r>
      <w:r w:rsidR="00F2760C" w:rsidRPr="0096488C">
        <w:t>tại Nghị định số 77/2019/NĐ-CP ngày 10</w:t>
      </w:r>
      <w:r w:rsidR="00A460A8">
        <w:t>/</w:t>
      </w:r>
      <w:r w:rsidR="00F2760C" w:rsidRPr="0096488C">
        <w:t>10</w:t>
      </w:r>
      <w:r w:rsidR="00A460A8">
        <w:t>/</w:t>
      </w:r>
      <w:r w:rsidR="00F2760C" w:rsidRPr="0096488C">
        <w:t xml:space="preserve">2019 của Chính phủ về tổ hợp tác (sau đây viết tắt là Nghị định số 77/2019/NĐ-CP). Theo đó, </w:t>
      </w:r>
      <w:r w:rsidRPr="0096488C">
        <w:rPr>
          <w:kern w:val="28"/>
          <w:lang w:val="pt-BR"/>
        </w:rPr>
        <w:t>các tổ hợp tác không phải thực hiện đăng ký tại cơ quan đăng ký kinh doanh, kể cả các tổ hợp tác có góp vốn chung và hoạt động lâu dài. Điều này dẫn đến tình trạng các chính sách của Nhà nước khó áp dụng đối với các tổ hợp tác do không quản lý được; đồng thời không có các định hướng chính sách để hỗ trợ các tổ hợp tác đủ điều kiện chuyển đổi thành các HTX có tư cách pháp nhân. Bên cạnh đ</w:t>
      </w:r>
      <w:r w:rsidR="004257B7" w:rsidRPr="0096488C">
        <w:rPr>
          <w:kern w:val="28"/>
          <w:lang w:val="pt-BR"/>
        </w:rPr>
        <w:t>ó</w:t>
      </w:r>
      <w:r w:rsidRPr="0096488C">
        <w:rPr>
          <w:kern w:val="28"/>
          <w:lang w:val="pt-BR"/>
        </w:rPr>
        <w:t xml:space="preserve">, quy định về việc xử lý tài sản chung của tổ hợp tác là tài sản được tài trợ, tặng, cho nhưng </w:t>
      </w:r>
      <w:r w:rsidRPr="0096488C">
        <w:rPr>
          <w:lang w:val="vi-VN"/>
        </w:rPr>
        <w:t>không có quyền định đoạt phần tài sản này</w:t>
      </w:r>
      <w:r w:rsidRPr="0096488C">
        <w:rPr>
          <w:kern w:val="28"/>
          <w:lang w:val="pt-BR"/>
        </w:rPr>
        <w:t xml:space="preserve"> </w:t>
      </w:r>
      <w:r w:rsidRPr="0096488C">
        <w:rPr>
          <w:kern w:val="28"/>
          <w:lang w:val="pt-BR"/>
        </w:rPr>
        <w:lastRenderedPageBreak/>
        <w:t xml:space="preserve">bởi cá nhân, tổ chức (không phải từ nguồn </w:t>
      </w:r>
      <w:r w:rsidR="002C4FFB" w:rsidRPr="0096488C">
        <w:rPr>
          <w:kern w:val="28"/>
          <w:lang w:val="pt-BR"/>
        </w:rPr>
        <w:t>NSNN</w:t>
      </w:r>
      <w:r w:rsidRPr="0096488C">
        <w:rPr>
          <w:kern w:val="28"/>
          <w:lang w:val="pt-BR"/>
        </w:rPr>
        <w:t xml:space="preserve">) khi tổ hợp tác chấm dứt hoạt động thì phải bàn giao lại các tài sản này cho Ủy ban nhân dân cấp xã </w:t>
      </w:r>
      <w:r w:rsidRPr="0096488C">
        <w:rPr>
          <w:lang w:val="vi-VN"/>
        </w:rPr>
        <w:t>hoặc cho cơ quan nhà nước có thẩm quyền</w:t>
      </w:r>
      <w:r w:rsidRPr="0096488C">
        <w:t xml:space="preserve"> là chưa phù hợp với quy định tại Điều 32</w:t>
      </w:r>
      <w:r w:rsidR="00710102" w:rsidRPr="0096488C">
        <w:t>, 51</w:t>
      </w:r>
      <w:r w:rsidRPr="0096488C">
        <w:t xml:space="preserve"> của Hiến pháp về các quyền đối với thu nhập, tài sản </w:t>
      </w:r>
      <w:r w:rsidR="00710102" w:rsidRPr="0096488C">
        <w:t xml:space="preserve">hợp pháp </w:t>
      </w:r>
      <w:r w:rsidRPr="0096488C">
        <w:t>của các cá nhân, tổ chức.</w:t>
      </w:r>
      <w:r w:rsidR="00E81CC2" w:rsidRPr="0096488C">
        <w:t xml:space="preserve"> </w:t>
      </w:r>
    </w:p>
    <w:p w14:paraId="36AAF62E" w14:textId="1629436B" w:rsidR="00E81CC2" w:rsidRPr="0096488C" w:rsidRDefault="00E81CC2" w:rsidP="0096488C">
      <w:pPr>
        <w:spacing w:before="60" w:after="60" w:line="264" w:lineRule="auto"/>
        <w:ind w:firstLine="720"/>
        <w:jc w:val="both"/>
      </w:pPr>
      <w:r w:rsidRPr="0096488C">
        <w:t xml:space="preserve">Luật HTX năm 2023 đã bổ sung đối tượng tổ hợp tác điều chỉnh tại Luật, trong đó quy định </w:t>
      </w:r>
      <w:r w:rsidR="00BA548E" w:rsidRPr="0096488C">
        <w:t xml:space="preserve">tổ hợp tác có góp vốn và hợp đồng hợp tác không có thời hạn hoặc thời hạn từ 12 tháng trở lên phải đăng ký, quy định về quyền, nghĩa vụ của tổ hợp tác tại Điều 107; quy định </w:t>
      </w:r>
      <w:r w:rsidRPr="0096488C">
        <w:t xml:space="preserve">rõ nội dung về phần vốn góp và mức độ góp sức lao động của các thành viên tổ hợp tác tại Điều 4 về giải thích từ ngữ; về nguyên tắc tổ chức, hoạt động của tổ hợp tác tại Điều 8; về tiêu chí thụ hưởng chính sách tại khoản 2 và 3 Điều 18. Đồng thời Luật HTX </w:t>
      </w:r>
      <w:r w:rsidR="003B2FB3" w:rsidRPr="0096488C">
        <w:t xml:space="preserve">năm </w:t>
      </w:r>
      <w:r w:rsidRPr="0096488C">
        <w:t>2023 cũng áp dụng nguyên tắc trao quyền quyết định cho các HTX, liên hiệp HTX</w:t>
      </w:r>
      <w:r w:rsidR="00205769" w:rsidRPr="0096488C">
        <w:t xml:space="preserve"> khi giải thể, phá sản</w:t>
      </w:r>
      <w:r w:rsidRPr="0096488C">
        <w:t xml:space="preserve"> đối với tài sản chung không chia của HTX, liên hiệp HTX</w:t>
      </w:r>
      <w:r w:rsidR="00205769" w:rsidRPr="0096488C">
        <w:t xml:space="preserve"> không có nguồn hình thành từ hỗ trợ của Nhà nước hoặc yêu cầu của các cá nhân, tổ chức cho, tặng, tài trợ</w:t>
      </w:r>
      <w:r w:rsidRPr="0096488C">
        <w:t>. Vì vậy, nếu không có quy định rõ ràng về việc thành lập, hoạt động, xử lý tài sản chung khi chấm dứt hoạt động của các tổ hợp tác thì sẽ</w:t>
      </w:r>
      <w:r w:rsidR="00F2760C" w:rsidRPr="0096488C">
        <w:t xml:space="preserve"> gây ra sự</w:t>
      </w:r>
      <w:r w:rsidRPr="0096488C">
        <w:t xml:space="preserve"> chồng chéo </w:t>
      </w:r>
      <w:r w:rsidR="00F2760C" w:rsidRPr="0096488C">
        <w:t>về pháp luật đối với các</w:t>
      </w:r>
      <w:r w:rsidRPr="0096488C">
        <w:t xml:space="preserve"> quy định về tổ hợp tác</w:t>
      </w:r>
      <w:r w:rsidR="00F2760C" w:rsidRPr="0096488C">
        <w:t>.</w:t>
      </w:r>
      <w:r w:rsidRPr="0096488C">
        <w:t xml:space="preserve"> </w:t>
      </w:r>
    </w:p>
    <w:p w14:paraId="79246FFD" w14:textId="67D05F0E" w:rsidR="005849C3" w:rsidRPr="0096488C" w:rsidRDefault="00960368" w:rsidP="0096488C">
      <w:pPr>
        <w:pStyle w:val="Heading1"/>
        <w:spacing w:before="60" w:after="60" w:line="264" w:lineRule="auto"/>
        <w:ind w:firstLine="720"/>
        <w:rPr>
          <w:sz w:val="28"/>
          <w:szCs w:val="28"/>
        </w:rPr>
      </w:pPr>
      <w:r w:rsidRPr="0096488C">
        <w:rPr>
          <w:sz w:val="28"/>
          <w:szCs w:val="28"/>
        </w:rPr>
        <w:t xml:space="preserve">II. </w:t>
      </w:r>
      <w:r w:rsidR="00C53091" w:rsidRPr="0096488C">
        <w:rPr>
          <w:sz w:val="28"/>
          <w:szCs w:val="28"/>
        </w:rPr>
        <w:t xml:space="preserve">MỤC </w:t>
      </w:r>
      <w:r w:rsidR="00212088" w:rsidRPr="0096488C">
        <w:rPr>
          <w:sz w:val="28"/>
          <w:szCs w:val="28"/>
        </w:rPr>
        <w:t>TIÊU</w:t>
      </w:r>
      <w:r w:rsidR="00CE1D7F" w:rsidRPr="0096488C">
        <w:rPr>
          <w:sz w:val="28"/>
          <w:szCs w:val="28"/>
        </w:rPr>
        <w:t xml:space="preserve">, </w:t>
      </w:r>
      <w:r w:rsidR="00960742" w:rsidRPr="0096488C">
        <w:rPr>
          <w:sz w:val="28"/>
          <w:szCs w:val="28"/>
        </w:rPr>
        <w:t>YÊU CẦU</w:t>
      </w:r>
      <w:r w:rsidR="00CE1D7F" w:rsidRPr="0096488C">
        <w:rPr>
          <w:sz w:val="28"/>
          <w:szCs w:val="28"/>
        </w:rPr>
        <w:t xml:space="preserve"> </w:t>
      </w:r>
      <w:r w:rsidR="008D3E63" w:rsidRPr="0096488C">
        <w:rPr>
          <w:sz w:val="28"/>
          <w:szCs w:val="28"/>
        </w:rPr>
        <w:t>XÂY DỰNG</w:t>
      </w:r>
      <w:r w:rsidR="00CE1D7F" w:rsidRPr="0096488C">
        <w:rPr>
          <w:sz w:val="28"/>
          <w:szCs w:val="28"/>
        </w:rPr>
        <w:t xml:space="preserve"> </w:t>
      </w:r>
      <w:r w:rsidR="00CF3323" w:rsidRPr="0096488C">
        <w:rPr>
          <w:sz w:val="28"/>
          <w:szCs w:val="28"/>
        </w:rPr>
        <w:t>NGHỊ ĐỊNH</w:t>
      </w:r>
    </w:p>
    <w:p w14:paraId="6A08416A" w14:textId="596CBA04" w:rsidR="00CC35E8" w:rsidRPr="0096488C" w:rsidRDefault="00D32780" w:rsidP="0096488C">
      <w:pPr>
        <w:pStyle w:val="Heading3"/>
        <w:spacing w:before="60" w:after="60"/>
        <w:ind w:firstLine="720"/>
      </w:pPr>
      <w:r w:rsidRPr="0096488C">
        <w:rPr>
          <w:lang w:val="en-US"/>
        </w:rPr>
        <w:t>1</w:t>
      </w:r>
      <w:r w:rsidR="00CC35E8" w:rsidRPr="0096488C">
        <w:t xml:space="preserve">. Mục </w:t>
      </w:r>
      <w:r w:rsidR="00212088" w:rsidRPr="0096488C">
        <w:rPr>
          <w:lang w:val="en-US"/>
        </w:rPr>
        <w:t>tiêu</w:t>
      </w:r>
    </w:p>
    <w:p w14:paraId="679F22F1" w14:textId="5D7FE31D" w:rsidR="00212088" w:rsidRPr="0096488C" w:rsidRDefault="00212088" w:rsidP="0096488C">
      <w:pPr>
        <w:pStyle w:val="Noidung"/>
        <w:spacing w:before="60" w:after="60" w:line="264" w:lineRule="auto"/>
        <w:rPr>
          <w:lang w:eastAsia="zh-CN"/>
        </w:rPr>
      </w:pPr>
      <w:r w:rsidRPr="0096488C">
        <w:rPr>
          <w:bCs/>
        </w:rPr>
        <w:t xml:space="preserve">a) Mục tiêu tổng thể: </w:t>
      </w:r>
      <w:r w:rsidRPr="0096488C">
        <w:rPr>
          <w:lang w:val="pt-BR"/>
        </w:rPr>
        <w:t>Cụ thể hóa các quy định được giao tại Luật HTX năm 2023 nhằm tạo hành lang pháp lý đồng bộ, thuận lợi;</w:t>
      </w:r>
      <w:r w:rsidR="007B5CBE" w:rsidRPr="0096488C">
        <w:rPr>
          <w:lang w:val="pt-BR"/>
        </w:rPr>
        <w:t xml:space="preserve"> đẩy mạnh phân cấp, phân quyền phù hợp với chức năng, nhiệm vụ của các cấp;</w:t>
      </w:r>
      <w:r w:rsidRPr="0096488C">
        <w:rPr>
          <w:lang w:val="pt-BR"/>
        </w:rPr>
        <w:t xml:space="preserve"> nâng cao hiệu quả các chính sách hỗ trợ có trọng tâm, trọng điểm; hướng đến phát huy bản chất, nguyên tắc, giá trị tốt đẹp của mô hình HTX; qua đó thúc đẩy các tổ chức kinh tế </w:t>
      </w:r>
      <w:r w:rsidR="004257B7" w:rsidRPr="0096488C">
        <w:rPr>
          <w:lang w:val="pt-BR"/>
        </w:rPr>
        <w:t>tập thể</w:t>
      </w:r>
      <w:r w:rsidRPr="0096488C">
        <w:rPr>
          <w:lang w:val="pt-BR"/>
        </w:rPr>
        <w:t xml:space="preserve"> phát triển </w:t>
      </w:r>
      <w:r w:rsidRPr="0096488C">
        <w:t>năng động, hiệu quả, bền vững; xây dựng hệ sinh thái các tổ chức kinh tế hợp tác mạnh, giúp nâng cao thu nhập, chất lượng cuộc sống của các thành viên và thực hiện tiến bộ, công bằng xã hội.</w:t>
      </w:r>
    </w:p>
    <w:p w14:paraId="3BBD3AAF" w14:textId="40A95D41" w:rsidR="00212088" w:rsidRPr="0096488C" w:rsidRDefault="00212088" w:rsidP="0096488C">
      <w:pPr>
        <w:spacing w:before="60" w:after="60" w:line="264" w:lineRule="auto"/>
        <w:ind w:firstLine="720"/>
        <w:jc w:val="both"/>
      </w:pPr>
      <w:r w:rsidRPr="0096488C">
        <w:t>b) Mục tiêu cụ thể:</w:t>
      </w:r>
    </w:p>
    <w:p w14:paraId="510F58AA" w14:textId="032198BE" w:rsidR="00182AE2" w:rsidRPr="0096488C" w:rsidRDefault="00182AE2" w:rsidP="0096488C">
      <w:pPr>
        <w:spacing w:before="60" w:after="60" w:line="264" w:lineRule="auto"/>
        <w:ind w:firstLine="720"/>
        <w:jc w:val="both"/>
      </w:pPr>
      <w:r w:rsidRPr="0096488C">
        <w:rPr>
          <w:i/>
        </w:rPr>
        <w:t xml:space="preserve">Một là, </w:t>
      </w:r>
      <w:r w:rsidRPr="0096488C">
        <w:t>quy định chi tiết về phân loại HTX</w:t>
      </w:r>
      <w:r w:rsidR="00ED159B" w:rsidRPr="0096488C">
        <w:t xml:space="preserve"> thành các quy mô khác nhau (siêu nhỏ, nhỏ, vừa và lớn</w:t>
      </w:r>
      <w:r w:rsidR="00ED159B" w:rsidRPr="0096488C">
        <w:rPr>
          <w:szCs w:val="28"/>
          <w:lang w:val="pt-BR" w:eastAsia="ar-SA"/>
        </w:rPr>
        <w:t xml:space="preserve"> dựa trên việc tổng hợp các chỉ tiêu về số lượng thành viên chính thức và chỉ tiêu doanh thu hoặc tổng nguồn vốn</w:t>
      </w:r>
      <w:r w:rsidR="00ED159B" w:rsidRPr="0096488C">
        <w:t>) tương ứng với</w:t>
      </w:r>
      <w:r w:rsidRPr="0096488C">
        <w:t xml:space="preserve"> từng </w:t>
      </w:r>
      <w:r w:rsidR="00ED159B" w:rsidRPr="0096488C">
        <w:t xml:space="preserve">nhóm </w:t>
      </w:r>
      <w:r w:rsidR="00EC5E46" w:rsidRPr="0096488C">
        <w:t xml:space="preserve">lĩnh vực </w:t>
      </w:r>
      <w:r w:rsidRPr="0096488C">
        <w:t>sản xuất kinh doanh</w:t>
      </w:r>
      <w:r w:rsidR="00ED159B" w:rsidRPr="0096488C">
        <w:t xml:space="preserve"> để</w:t>
      </w:r>
      <w:r w:rsidRPr="0096488C">
        <w:t xml:space="preserve"> phù hợp với điều kiện thực tế, </w:t>
      </w:r>
      <w:r w:rsidR="00ED159B" w:rsidRPr="0096488C">
        <w:t xml:space="preserve">trình độ </w:t>
      </w:r>
      <w:r w:rsidRPr="0096488C">
        <w:t xml:space="preserve">tổ chức quản trị của HTX, đáp ứng yêu cầu về quản lý </w:t>
      </w:r>
      <w:r w:rsidR="00EC5E46" w:rsidRPr="0096488C">
        <w:t xml:space="preserve">và thực hiện các chính sách hỗ trợ của </w:t>
      </w:r>
      <w:r w:rsidRPr="0096488C">
        <w:t>nhà nước.</w:t>
      </w:r>
    </w:p>
    <w:p w14:paraId="54C952DD" w14:textId="75C1FEA3" w:rsidR="00182AE2" w:rsidRPr="0096488C" w:rsidRDefault="00182AE2" w:rsidP="008F3077">
      <w:pPr>
        <w:spacing w:before="60" w:after="60" w:line="288" w:lineRule="auto"/>
        <w:ind w:firstLine="720"/>
        <w:jc w:val="both"/>
      </w:pPr>
      <w:bookmarkStart w:id="1" w:name="_Hlk147651631"/>
      <w:bookmarkStart w:id="2" w:name="_Hlk147651441"/>
      <w:r w:rsidRPr="0096488C">
        <w:rPr>
          <w:i/>
        </w:rPr>
        <w:t xml:space="preserve">Hai là, </w:t>
      </w:r>
      <w:r w:rsidRPr="0096488C">
        <w:t xml:space="preserve">quy định chi tiết tiêu chí để lựa chọn đối tượng hưởng chính sách hỗ trợ của Nhà nước; các </w:t>
      </w:r>
      <w:r w:rsidR="00451F01" w:rsidRPr="0096488C">
        <w:t>đối tượng</w:t>
      </w:r>
      <w:r w:rsidR="007D6AE3" w:rsidRPr="0096488C">
        <w:t xml:space="preserve">, nội dung, điều kiện, kinh phí hỗ trợ từ </w:t>
      </w:r>
      <w:r w:rsidR="002C4FFB" w:rsidRPr="0096488C">
        <w:t>NSNN</w:t>
      </w:r>
      <w:r w:rsidR="00BB3CB7" w:rsidRPr="0096488C">
        <w:t xml:space="preserve">; quy trình đề xuất nhu cầu hỗ trợ và </w:t>
      </w:r>
      <w:r w:rsidR="00A01F66" w:rsidRPr="0096488C">
        <w:t xml:space="preserve">cách thức </w:t>
      </w:r>
      <w:r w:rsidR="00BB3CB7" w:rsidRPr="0096488C">
        <w:t>tổ chức thực hiện các chính sách</w:t>
      </w:r>
      <w:r w:rsidR="00A54BB1" w:rsidRPr="0096488C">
        <w:t xml:space="preserve"> hỗ trợ</w:t>
      </w:r>
      <w:r w:rsidR="00B05A9A" w:rsidRPr="0096488C">
        <w:t xml:space="preserve"> của Nhà nước bảo đảm chính sách hỗ trợ </w:t>
      </w:r>
      <w:r w:rsidR="007D6AE3" w:rsidRPr="0096488C">
        <w:t xml:space="preserve">khả thi, </w:t>
      </w:r>
      <w:r w:rsidR="00B05A9A" w:rsidRPr="0096488C">
        <w:t xml:space="preserve">hiệu quả, đúng đối tượng, </w:t>
      </w:r>
      <w:r w:rsidR="00B05A9A" w:rsidRPr="0096488C">
        <w:lastRenderedPageBreak/>
        <w:t>phát huy bản chất, đặc trưng của mô hình HTX, thúc đẩy khu vực kinh tế tập thể phát triển</w:t>
      </w:r>
      <w:r w:rsidRPr="0096488C">
        <w:t>.</w:t>
      </w:r>
      <w:bookmarkEnd w:id="1"/>
    </w:p>
    <w:bookmarkEnd w:id="2"/>
    <w:p w14:paraId="4A7CD1B5" w14:textId="2E52B9DD" w:rsidR="00182AE2" w:rsidRPr="0096488C" w:rsidRDefault="00182AE2" w:rsidP="008F3077">
      <w:pPr>
        <w:spacing w:before="60" w:after="60" w:line="288" w:lineRule="auto"/>
        <w:ind w:firstLine="720"/>
        <w:jc w:val="both"/>
      </w:pPr>
      <w:r w:rsidRPr="0096488C">
        <w:rPr>
          <w:i/>
        </w:rPr>
        <w:t>Ba là</w:t>
      </w:r>
      <w:r w:rsidRPr="0096488C">
        <w:t xml:space="preserve">, quy định chi tiết điều kiện HTX, liên hiệp HTX được thành lập doanh nghiệp, </w:t>
      </w:r>
      <w:r w:rsidR="00A47F03" w:rsidRPr="0096488C">
        <w:t xml:space="preserve">được </w:t>
      </w:r>
      <w:r w:rsidRPr="0096488C">
        <w:t>góp vốn, mua cổ phần</w:t>
      </w:r>
      <w:r w:rsidR="00A47F03" w:rsidRPr="0096488C">
        <w:t xml:space="preserve"> tham gia doanh nghiệp</w:t>
      </w:r>
      <w:r w:rsidRPr="0096488C">
        <w:t xml:space="preserve"> nhằm tạo thuận lợi cho việc thành lập doanh nghiệp, góp vốn, mua cổ phần </w:t>
      </w:r>
      <w:r w:rsidR="005E0840" w:rsidRPr="0096488C">
        <w:t xml:space="preserve">tham gia doanh nghiệp </w:t>
      </w:r>
      <w:r w:rsidRPr="0096488C">
        <w:t>của HTX, liên hiệp HTX, hỗ trợ</w:t>
      </w:r>
      <w:r w:rsidR="0001356E" w:rsidRPr="0096488C">
        <w:t xml:space="preserve"> hiệu quả</w:t>
      </w:r>
      <w:r w:rsidRPr="0096488C">
        <w:t xml:space="preserve"> hoạt động, liên kết, tiêu thụ, sử dụng sản phẩm, dịch vụ của HTX, liên hiệp HTX</w:t>
      </w:r>
      <w:r w:rsidR="00C42CFF" w:rsidRPr="0096488C">
        <w:t>; đồng thời bảo đảm giữ đúng bản chất của mô hình HTX</w:t>
      </w:r>
      <w:r w:rsidRPr="0096488C">
        <w:t>.</w:t>
      </w:r>
    </w:p>
    <w:p w14:paraId="3185FC66" w14:textId="7263F462" w:rsidR="00182AE2" w:rsidRPr="0096488C" w:rsidRDefault="00182AE2" w:rsidP="008F3077">
      <w:pPr>
        <w:spacing w:before="60" w:after="60" w:line="288" w:lineRule="auto"/>
        <w:ind w:firstLine="720"/>
        <w:jc w:val="both"/>
      </w:pPr>
      <w:r w:rsidRPr="0096488C">
        <w:rPr>
          <w:i/>
        </w:rPr>
        <w:t xml:space="preserve">Bốn là, </w:t>
      </w:r>
      <w:r w:rsidRPr="0096488C">
        <w:t>quy định chi tiết điều kiện và mức cho vay, giới hạn cho vay, lãi suất</w:t>
      </w:r>
      <w:r w:rsidR="005E0840" w:rsidRPr="0096488C">
        <w:t xml:space="preserve"> cho vay</w:t>
      </w:r>
      <w:r w:rsidRPr="0096488C">
        <w:t xml:space="preserve">, xử lý rủi ro đối với hoạt động cho vay nội bộ của HTX, liên hiệp HTX nhằm </w:t>
      </w:r>
      <w:r w:rsidR="005E0840" w:rsidRPr="0096488C">
        <w:t xml:space="preserve">bảo đảm bản chất, </w:t>
      </w:r>
      <w:r w:rsidRPr="0096488C">
        <w:t>nâng cao hiệu quả, phòng tránh rủi ro của hoạt động</w:t>
      </w:r>
      <w:r w:rsidR="005E0840" w:rsidRPr="0096488C">
        <w:t xml:space="preserve"> cho vay nội bộ trong HTX, liên hiệp HTX</w:t>
      </w:r>
      <w:r w:rsidRPr="0096488C">
        <w:t>.</w:t>
      </w:r>
    </w:p>
    <w:p w14:paraId="7C30A141" w14:textId="2469FBF4" w:rsidR="00182AE2" w:rsidRPr="0096488C" w:rsidRDefault="00182AE2" w:rsidP="008F3077">
      <w:pPr>
        <w:spacing w:before="60" w:after="60" w:line="288" w:lineRule="auto"/>
        <w:ind w:firstLine="720"/>
        <w:jc w:val="both"/>
        <w:rPr>
          <w:lang w:val="it-IT"/>
        </w:rPr>
      </w:pPr>
      <w:r w:rsidRPr="0096488C">
        <w:rPr>
          <w:i/>
        </w:rPr>
        <w:t>Năm là</w:t>
      </w:r>
      <w:r w:rsidRPr="0096488C">
        <w:t xml:space="preserve">, quy định chi tiết về giao dịch nội bộ, thu nhập </w:t>
      </w:r>
      <w:r w:rsidR="00163FDC" w:rsidRPr="0096488C">
        <w:t xml:space="preserve">từ </w:t>
      </w:r>
      <w:r w:rsidRPr="0096488C">
        <w:t xml:space="preserve">giao dịch nội bộ đối với </w:t>
      </w:r>
      <w:r w:rsidR="00163FDC" w:rsidRPr="0096488C">
        <w:t xml:space="preserve">các </w:t>
      </w:r>
      <w:r w:rsidRPr="0096488C">
        <w:t>hoạt động sản xuất</w:t>
      </w:r>
      <w:r w:rsidR="00163FDC" w:rsidRPr="0096488C">
        <w:t>,</w:t>
      </w:r>
      <w:r w:rsidRPr="0096488C">
        <w:t xml:space="preserve"> kinh doanh khác nhau</w:t>
      </w:r>
      <w:r w:rsidR="00163FDC" w:rsidRPr="0096488C">
        <w:t xml:space="preserve"> của HTX, liên hiệp HTX</w:t>
      </w:r>
      <w:r w:rsidRPr="0096488C">
        <w:t xml:space="preserve"> </w:t>
      </w:r>
      <w:r w:rsidRPr="0096488C">
        <w:rPr>
          <w:lang w:val="it-IT"/>
        </w:rPr>
        <w:t>để làm căn cứ xác đáng cho các HTX, liên hiệp HTX xác định mức phân phối thu nhập theo mức độ sử dụng sản phẩm dịch vụ của thành viên chính thức</w:t>
      </w:r>
      <w:r w:rsidR="00163FDC" w:rsidRPr="0096488C">
        <w:rPr>
          <w:lang w:val="it-IT"/>
        </w:rPr>
        <w:t xml:space="preserve">, </w:t>
      </w:r>
      <w:r w:rsidR="00FD7A80" w:rsidRPr="0096488C">
        <w:rPr>
          <w:lang w:val="it-IT"/>
        </w:rPr>
        <w:t>đề xuất</w:t>
      </w:r>
      <w:r w:rsidR="00163FDC" w:rsidRPr="0096488C">
        <w:rPr>
          <w:lang w:val="it-IT"/>
        </w:rPr>
        <w:t xml:space="preserve"> miễn, giảm thuế thu nhập doanh nghiệp đối với thu nhập từ giao dịch nội bộ của HTX, liên hiệp HTX</w:t>
      </w:r>
      <w:r w:rsidRPr="0096488C">
        <w:rPr>
          <w:lang w:val="it-IT"/>
        </w:rPr>
        <w:t xml:space="preserve">; làm căn cứ </w:t>
      </w:r>
      <w:r w:rsidR="00163FDC" w:rsidRPr="0096488C">
        <w:rPr>
          <w:lang w:val="it-IT"/>
        </w:rPr>
        <w:t>để</w:t>
      </w:r>
      <w:r w:rsidRPr="0096488C">
        <w:rPr>
          <w:lang w:val="it-IT"/>
        </w:rPr>
        <w:t xml:space="preserve"> cơ quan nhà nước có thẩm quyền </w:t>
      </w:r>
      <w:r w:rsidR="00FD7A80" w:rsidRPr="0096488C">
        <w:rPr>
          <w:lang w:val="it-IT"/>
        </w:rPr>
        <w:t>thực hiện chính sách</w:t>
      </w:r>
      <w:r w:rsidRPr="0096488C">
        <w:rPr>
          <w:lang w:val="it-IT"/>
        </w:rPr>
        <w:t xml:space="preserve"> miễn, giảm thuế thu nhập doanh nghiệp, xém xét lựa chọn đối tượng hưởng các chính sách của Nhà nước</w:t>
      </w:r>
      <w:r w:rsidR="004652D8" w:rsidRPr="0096488C">
        <w:rPr>
          <w:lang w:val="it-IT"/>
        </w:rPr>
        <w:t xml:space="preserve"> đối với </w:t>
      </w:r>
      <w:r w:rsidR="009A4FD0" w:rsidRPr="0096488C">
        <w:rPr>
          <w:lang w:val="it-IT"/>
        </w:rPr>
        <w:t>H</w:t>
      </w:r>
      <w:r w:rsidR="004652D8" w:rsidRPr="0096488C">
        <w:rPr>
          <w:lang w:val="it-IT"/>
        </w:rPr>
        <w:t>TX, liên hiệp HTX</w:t>
      </w:r>
      <w:r w:rsidRPr="0096488C">
        <w:rPr>
          <w:lang w:val="it-IT"/>
        </w:rPr>
        <w:t>.</w:t>
      </w:r>
    </w:p>
    <w:p w14:paraId="70A73066" w14:textId="2800A7CC" w:rsidR="00182AE2" w:rsidRPr="0096488C" w:rsidRDefault="00182AE2" w:rsidP="008F3077">
      <w:pPr>
        <w:spacing w:before="60" w:after="60" w:line="288" w:lineRule="auto"/>
        <w:ind w:firstLine="720"/>
        <w:jc w:val="both"/>
      </w:pPr>
      <w:r w:rsidRPr="0096488C">
        <w:rPr>
          <w:i/>
          <w:lang w:val="it-IT"/>
        </w:rPr>
        <w:t>Sáu là</w:t>
      </w:r>
      <w:r w:rsidRPr="0096488C">
        <w:rPr>
          <w:lang w:val="it-IT"/>
        </w:rPr>
        <w:t>, quy định chi tiết về xử lý</w:t>
      </w:r>
      <w:r w:rsidR="005C5B81" w:rsidRPr="0096488C">
        <w:rPr>
          <w:lang w:val="it-IT"/>
        </w:rPr>
        <w:t xml:space="preserve"> </w:t>
      </w:r>
      <w:r w:rsidR="009D1BA4" w:rsidRPr="0096488C">
        <w:rPr>
          <w:lang w:val="it-IT"/>
        </w:rPr>
        <w:t xml:space="preserve">tài sản của HTX, liên hiệp HTX khi giải thể, phá sản, trong đó có việc xử lỹ </w:t>
      </w:r>
      <w:r w:rsidR="005C5B81" w:rsidRPr="0096488C">
        <w:rPr>
          <w:lang w:val="it-IT"/>
        </w:rPr>
        <w:t>quỹ chung không chia,</w:t>
      </w:r>
      <w:r w:rsidRPr="0096488C">
        <w:rPr>
          <w:lang w:val="it-IT"/>
        </w:rPr>
        <w:t xml:space="preserve"> tài sản chung không chia theo nguồn hình thành nhằm bảo đảm quyền tài sản của tổ chức, thành viên và phù hợp với nguyên tắc cơ bản của HTX.</w:t>
      </w:r>
    </w:p>
    <w:p w14:paraId="4969FD57" w14:textId="73AC7B43" w:rsidR="00CC35E8" w:rsidRPr="0096488C" w:rsidRDefault="00182AE2" w:rsidP="008F3077">
      <w:pPr>
        <w:spacing w:before="60" w:after="60" w:line="288" w:lineRule="auto"/>
        <w:ind w:firstLine="720"/>
        <w:jc w:val="both"/>
        <w:rPr>
          <w:rFonts w:cs="Times New Roman"/>
          <w:szCs w:val="28"/>
        </w:rPr>
      </w:pPr>
      <w:r w:rsidRPr="0096488C">
        <w:rPr>
          <w:i/>
        </w:rPr>
        <w:t>Bảy là</w:t>
      </w:r>
      <w:r w:rsidRPr="0096488C">
        <w:t xml:space="preserve">, </w:t>
      </w:r>
      <w:r w:rsidR="0069222A" w:rsidRPr="0096488C">
        <w:t>sửa đổi, bổ sung</w:t>
      </w:r>
      <w:r w:rsidRPr="0096488C">
        <w:t xml:space="preserve"> </w:t>
      </w:r>
      <w:r w:rsidR="00C24821" w:rsidRPr="0096488C">
        <w:t xml:space="preserve">các nội dung liên quan đến </w:t>
      </w:r>
      <w:r w:rsidR="0069222A" w:rsidRPr="0096488C">
        <w:t xml:space="preserve">quyền, nghĩa vụ và </w:t>
      </w:r>
      <w:r w:rsidRPr="0096488C">
        <w:t>hoạt động của tổ hợp tác phù hợp với quy định của Luật HTX năm 2023 và pháp luật có liên quan</w:t>
      </w:r>
      <w:r w:rsidR="0069222A" w:rsidRPr="0096488C">
        <w:t>.</w:t>
      </w:r>
    </w:p>
    <w:p w14:paraId="1FD966F7" w14:textId="718B2A09" w:rsidR="00182AE2" w:rsidRPr="0096488C" w:rsidRDefault="000F4A6D" w:rsidP="008F3077">
      <w:pPr>
        <w:pStyle w:val="Heading3"/>
        <w:spacing w:before="60" w:after="60" w:line="288" w:lineRule="auto"/>
        <w:ind w:firstLine="720"/>
      </w:pPr>
      <w:r w:rsidRPr="0096488C">
        <w:rPr>
          <w:lang w:val="en-US"/>
        </w:rPr>
        <w:t>2</w:t>
      </w:r>
      <w:r w:rsidR="00182AE2" w:rsidRPr="0096488C">
        <w:t xml:space="preserve">. </w:t>
      </w:r>
      <w:r w:rsidR="00960742" w:rsidRPr="0096488C">
        <w:rPr>
          <w:lang w:val="en-US"/>
        </w:rPr>
        <w:t>Yêu cầu</w:t>
      </w:r>
      <w:r w:rsidR="00490587" w:rsidRPr="0096488C">
        <w:rPr>
          <w:lang w:val="en-US"/>
        </w:rPr>
        <w:t xml:space="preserve"> </w:t>
      </w:r>
      <w:r w:rsidR="00182AE2" w:rsidRPr="0096488C">
        <w:t>xây dựng Nghị định</w:t>
      </w:r>
    </w:p>
    <w:p w14:paraId="2955B07B" w14:textId="12AE6CAB" w:rsidR="00280C70" w:rsidRPr="0096488C" w:rsidRDefault="00280C70" w:rsidP="008F3077">
      <w:pPr>
        <w:pStyle w:val="BodyTextIndent"/>
        <w:spacing w:before="60" w:after="60" w:line="288" w:lineRule="auto"/>
        <w:ind w:left="0" w:firstLine="720"/>
        <w:jc w:val="both"/>
        <w:rPr>
          <w:lang w:val="en-US"/>
        </w:rPr>
      </w:pPr>
      <w:r w:rsidRPr="0096488C">
        <w:rPr>
          <w:lang w:val="en-US"/>
        </w:rPr>
        <w:t>a) Quy định chi tiết, đầy đủ các điều, khoản đã được Quốc hội giao</w:t>
      </w:r>
      <w:r w:rsidR="0064028D" w:rsidRPr="0096488C">
        <w:rPr>
          <w:lang w:val="en-US"/>
        </w:rPr>
        <w:t xml:space="preserve"> Chính phủ hướng dẫn</w:t>
      </w:r>
      <w:r w:rsidRPr="0096488C">
        <w:rPr>
          <w:lang w:val="en-US"/>
        </w:rPr>
        <w:t xml:space="preserve"> tại Luật HTX năm 2023.</w:t>
      </w:r>
    </w:p>
    <w:p w14:paraId="046F4AA1" w14:textId="73062810" w:rsidR="009126E5" w:rsidRPr="0096488C" w:rsidRDefault="00280C70" w:rsidP="008F3077">
      <w:pPr>
        <w:pStyle w:val="BodyTextIndent"/>
        <w:spacing w:before="60" w:after="60" w:line="288" w:lineRule="auto"/>
        <w:ind w:left="0" w:firstLine="720"/>
        <w:jc w:val="both"/>
        <w:rPr>
          <w:lang w:val="en-US"/>
        </w:rPr>
      </w:pPr>
      <w:r w:rsidRPr="0096488C">
        <w:rPr>
          <w:lang w:val="en-US"/>
        </w:rPr>
        <w:t>b)</w:t>
      </w:r>
      <w:r w:rsidR="00212088" w:rsidRPr="0096488C">
        <w:rPr>
          <w:lang w:val="en-US"/>
        </w:rPr>
        <w:t xml:space="preserve"> </w:t>
      </w:r>
      <w:r w:rsidRPr="0096488C">
        <w:rPr>
          <w:lang w:val="en-US"/>
        </w:rPr>
        <w:t>B</w:t>
      </w:r>
      <w:r w:rsidR="00CC35E8" w:rsidRPr="0096488C">
        <w:t xml:space="preserve">ảo đảm tính đồng bộ, thống nhất với </w:t>
      </w:r>
      <w:r w:rsidR="007940F5" w:rsidRPr="0096488C">
        <w:rPr>
          <w:lang w:val="en-GB"/>
        </w:rPr>
        <w:t xml:space="preserve">quy định của </w:t>
      </w:r>
      <w:r w:rsidR="00CC35E8" w:rsidRPr="0096488C">
        <w:rPr>
          <w:lang w:val="en-US"/>
        </w:rPr>
        <w:t xml:space="preserve">Luật </w:t>
      </w:r>
      <w:r w:rsidR="00746A03" w:rsidRPr="0096488C">
        <w:rPr>
          <w:lang w:val="en-US"/>
        </w:rPr>
        <w:t>HTX</w:t>
      </w:r>
      <w:r w:rsidR="00182AE2" w:rsidRPr="0096488C">
        <w:rPr>
          <w:lang w:val="en-US"/>
        </w:rPr>
        <w:t xml:space="preserve"> </w:t>
      </w:r>
      <w:r w:rsidR="0079217F" w:rsidRPr="0096488C">
        <w:rPr>
          <w:lang w:val="en-US"/>
        </w:rPr>
        <w:t>năm 2023</w:t>
      </w:r>
      <w:r w:rsidR="00CC35E8" w:rsidRPr="0096488C">
        <w:rPr>
          <w:lang w:val="en-US"/>
        </w:rPr>
        <w:t>,</w:t>
      </w:r>
      <w:r w:rsidR="0009566C" w:rsidRPr="0096488C">
        <w:rPr>
          <w:lang w:val="en-US"/>
        </w:rPr>
        <w:t xml:space="preserve"> </w:t>
      </w:r>
      <w:r w:rsidR="00CC35E8" w:rsidRPr="0096488C">
        <w:t xml:space="preserve">các </w:t>
      </w:r>
      <w:r w:rsidR="00201491" w:rsidRPr="0096488C">
        <w:rPr>
          <w:lang w:val="en-US"/>
        </w:rPr>
        <w:t xml:space="preserve">pháp </w:t>
      </w:r>
      <w:r w:rsidR="00CC35E8" w:rsidRPr="0096488C">
        <w:t>luật</w:t>
      </w:r>
      <w:r w:rsidR="00201491" w:rsidRPr="0096488C">
        <w:rPr>
          <w:lang w:val="en-US"/>
        </w:rPr>
        <w:t xml:space="preserve"> có</w:t>
      </w:r>
      <w:r w:rsidR="00CC35E8" w:rsidRPr="0096488C">
        <w:t xml:space="preserve"> liên quan</w:t>
      </w:r>
      <w:r w:rsidR="009126E5" w:rsidRPr="0096488C">
        <w:rPr>
          <w:lang w:val="en-US"/>
        </w:rPr>
        <w:t>.</w:t>
      </w:r>
    </w:p>
    <w:p w14:paraId="17A7B7D5" w14:textId="29360713" w:rsidR="007F5606" w:rsidRPr="0096488C" w:rsidRDefault="009126E5" w:rsidP="008F3077">
      <w:pPr>
        <w:pStyle w:val="BodyTextIndent"/>
        <w:spacing w:before="60" w:after="60" w:line="288" w:lineRule="auto"/>
        <w:ind w:left="0" w:firstLine="720"/>
        <w:jc w:val="both"/>
        <w:rPr>
          <w:lang w:val="en-US"/>
        </w:rPr>
      </w:pPr>
      <w:r w:rsidRPr="0096488C">
        <w:rPr>
          <w:lang w:val="en-US"/>
        </w:rPr>
        <w:t>c)</w:t>
      </w:r>
      <w:r w:rsidR="00CC35E8" w:rsidRPr="0096488C">
        <w:t xml:space="preserve"> </w:t>
      </w:r>
      <w:r w:rsidRPr="0096488C">
        <w:rPr>
          <w:lang w:val="en-US"/>
        </w:rPr>
        <w:t>K</w:t>
      </w:r>
      <w:r w:rsidR="00CC35E8" w:rsidRPr="0096488C">
        <w:t xml:space="preserve">ế thừa và hoàn thiện </w:t>
      </w:r>
      <w:r w:rsidR="00DF4D70" w:rsidRPr="0096488C">
        <w:rPr>
          <w:lang w:val="en-US"/>
        </w:rPr>
        <w:t>các</w:t>
      </w:r>
      <w:r w:rsidR="00CC35E8" w:rsidRPr="0096488C">
        <w:t xml:space="preserve"> quy định</w:t>
      </w:r>
      <w:r w:rsidR="0009566C" w:rsidRPr="0096488C">
        <w:rPr>
          <w:lang w:val="en-US"/>
        </w:rPr>
        <w:t xml:space="preserve"> </w:t>
      </w:r>
      <w:r w:rsidR="00CC35E8" w:rsidRPr="0096488C">
        <w:rPr>
          <w:lang w:val="en-US"/>
        </w:rPr>
        <w:t>hi</w:t>
      </w:r>
      <w:r w:rsidR="00CC35E8" w:rsidRPr="0096488C">
        <w:t xml:space="preserve">ện hành </w:t>
      </w:r>
      <w:r w:rsidR="00DF4D70" w:rsidRPr="0096488C">
        <w:t xml:space="preserve">còn phù hợp với quy định của Luật </w:t>
      </w:r>
      <w:r w:rsidR="00F25CA9" w:rsidRPr="0096488C">
        <w:rPr>
          <w:lang w:val="en-US"/>
        </w:rPr>
        <w:t>HTX năm 2023</w:t>
      </w:r>
      <w:r w:rsidR="007F5606" w:rsidRPr="0096488C">
        <w:rPr>
          <w:lang w:val="en-US"/>
        </w:rPr>
        <w:t>.</w:t>
      </w:r>
    </w:p>
    <w:p w14:paraId="0228C841" w14:textId="33FA606C" w:rsidR="00CC35E8" w:rsidRDefault="007F5606" w:rsidP="008F3077">
      <w:pPr>
        <w:pStyle w:val="BodyTextIndent"/>
        <w:spacing w:before="60" w:after="60" w:line="288" w:lineRule="auto"/>
        <w:ind w:left="0" w:firstLine="720"/>
        <w:jc w:val="both"/>
        <w:rPr>
          <w:lang w:val="en-US"/>
        </w:rPr>
      </w:pPr>
      <w:r w:rsidRPr="0096488C">
        <w:rPr>
          <w:lang w:val="en-US"/>
        </w:rPr>
        <w:t>d)</w:t>
      </w:r>
      <w:r w:rsidR="00DF4D70" w:rsidRPr="0096488C">
        <w:t xml:space="preserve"> </w:t>
      </w:r>
      <w:r w:rsidRPr="0096488C">
        <w:rPr>
          <w:lang w:val="en-US"/>
        </w:rPr>
        <w:t>B</w:t>
      </w:r>
      <w:r w:rsidR="00DF4D70" w:rsidRPr="0096488C">
        <w:rPr>
          <w:lang w:val="en-US"/>
        </w:rPr>
        <w:t xml:space="preserve">ảo đảm phù hợp với </w:t>
      </w:r>
      <w:r w:rsidR="00DF4D70" w:rsidRPr="0096488C">
        <w:t>thực tế</w:t>
      </w:r>
      <w:r w:rsidRPr="0096488C">
        <w:rPr>
          <w:lang w:val="en-US"/>
        </w:rPr>
        <w:t>, hiệu lực, hiệu quả</w:t>
      </w:r>
      <w:r w:rsidR="00DF4D70" w:rsidRPr="0096488C">
        <w:rPr>
          <w:lang w:val="en-US"/>
        </w:rPr>
        <w:t xml:space="preserve"> khi</w:t>
      </w:r>
      <w:r w:rsidR="00DF4D70" w:rsidRPr="0096488C">
        <w:t xml:space="preserve"> triển khai</w:t>
      </w:r>
      <w:r w:rsidR="00DF4D70" w:rsidRPr="0096488C">
        <w:rPr>
          <w:lang w:val="en-US"/>
        </w:rPr>
        <w:t xml:space="preserve"> áp dụng</w:t>
      </w:r>
      <w:r w:rsidR="00CC35E8" w:rsidRPr="0096488C">
        <w:t>.</w:t>
      </w:r>
    </w:p>
    <w:p w14:paraId="71970A53" w14:textId="6785025D" w:rsidR="00CF3323" w:rsidRPr="0096488C" w:rsidRDefault="000A71E2" w:rsidP="0096488C">
      <w:pPr>
        <w:pStyle w:val="Heading1"/>
        <w:spacing w:before="60" w:after="60" w:line="264" w:lineRule="auto"/>
        <w:ind w:firstLine="720"/>
      </w:pPr>
      <w:r w:rsidRPr="0096488C">
        <w:lastRenderedPageBreak/>
        <w:t xml:space="preserve">III. </w:t>
      </w:r>
      <w:r w:rsidR="000B3F71" w:rsidRPr="0096488C">
        <w:t>QUÁ TRÌNH X</w:t>
      </w:r>
      <w:r w:rsidR="00AB4CC6" w:rsidRPr="0096488C">
        <w:t>Â</w:t>
      </w:r>
      <w:r w:rsidR="000B3F71" w:rsidRPr="0096488C">
        <w:t>Y DỰNG</w:t>
      </w:r>
      <w:r w:rsidR="00CF3323" w:rsidRPr="0096488C">
        <w:t xml:space="preserve"> </w:t>
      </w:r>
      <w:r w:rsidRPr="0096488C">
        <w:t xml:space="preserve">DỰ THẢO </w:t>
      </w:r>
      <w:r w:rsidR="00CF3323" w:rsidRPr="0096488C">
        <w:t>NGHỊ ĐỊNH</w:t>
      </w:r>
    </w:p>
    <w:p w14:paraId="109B5896" w14:textId="2DE7EFA5" w:rsidR="0079217F" w:rsidRPr="0096488C" w:rsidRDefault="00754B33" w:rsidP="0096488C">
      <w:pPr>
        <w:spacing w:before="60" w:after="60" w:line="264" w:lineRule="auto"/>
        <w:ind w:firstLine="720"/>
        <w:jc w:val="both"/>
      </w:pPr>
      <w:r w:rsidRPr="0096488C">
        <w:t>Thực hiện Quyết định số 857/QĐ-TTg ngày 18/7/2023 của Thủ tướng Chính phủ</w:t>
      </w:r>
      <w:r w:rsidR="00DE679E" w:rsidRPr="0096488C">
        <w:t xml:space="preserve">, </w:t>
      </w:r>
      <w:r w:rsidR="007B6E33" w:rsidRPr="0096488C">
        <w:t xml:space="preserve">Bộ Kế hoạch và Đầu tư đã tổ chức xây dựng Nghị định </w:t>
      </w:r>
      <w:r w:rsidRPr="0096488C">
        <w:t>theo đúng quy định Luật ban hành văn bản quy phạm pháp luật</w:t>
      </w:r>
      <w:r w:rsidR="00201228" w:rsidRPr="0096488C">
        <w:t>,</w:t>
      </w:r>
      <w:r w:rsidR="0079217F" w:rsidRPr="0096488C">
        <w:t xml:space="preserve"> cụ thể:</w:t>
      </w:r>
    </w:p>
    <w:p w14:paraId="3070D5B9" w14:textId="0DB6DF16" w:rsidR="00862C47" w:rsidRPr="0096488C" w:rsidRDefault="0084432D" w:rsidP="0096488C">
      <w:pPr>
        <w:spacing w:before="60" w:after="60" w:line="264" w:lineRule="auto"/>
        <w:ind w:firstLine="720"/>
        <w:jc w:val="both"/>
      </w:pPr>
      <w:r w:rsidRPr="0096488C">
        <w:t>1.</w:t>
      </w:r>
      <w:r w:rsidR="00201228" w:rsidRPr="0096488C">
        <w:t xml:space="preserve"> </w:t>
      </w:r>
      <w:r w:rsidR="0079217F" w:rsidRPr="0096488C">
        <w:t>T</w:t>
      </w:r>
      <w:r w:rsidR="00201228" w:rsidRPr="0096488C">
        <w:t>hành lập Ban soạn thảo</w:t>
      </w:r>
      <w:r w:rsidR="007057DD" w:rsidRPr="0096488C">
        <w:t xml:space="preserve"> (BST)</w:t>
      </w:r>
      <w:r w:rsidR="00201228" w:rsidRPr="0096488C">
        <w:t>, Tổ biên tậ</w:t>
      </w:r>
      <w:r w:rsidR="00941EF8" w:rsidRPr="0096488C">
        <w:t>p</w:t>
      </w:r>
      <w:r w:rsidR="007057DD" w:rsidRPr="0096488C">
        <w:t xml:space="preserve"> (TBT)</w:t>
      </w:r>
      <w:r w:rsidR="0079217F" w:rsidRPr="0096488C">
        <w:t xml:space="preserve"> </w:t>
      </w:r>
      <w:r w:rsidR="00862C47" w:rsidRPr="0096488C">
        <w:t>gồm các cán bộ từ các Bộ, ngành, cơ quan có liên quan (</w:t>
      </w:r>
      <w:r w:rsidR="0079217F" w:rsidRPr="0096488C">
        <w:t>Quyết định số 1368/QĐ-BKHĐT của Bộ trưởng Bộ Kế hoạch và Đầu tư ngày 07</w:t>
      </w:r>
      <w:r w:rsidR="00A460A8">
        <w:t>/</w:t>
      </w:r>
      <w:r w:rsidR="0079217F" w:rsidRPr="0096488C">
        <w:t>8</w:t>
      </w:r>
      <w:r w:rsidR="00A460A8">
        <w:t>/</w:t>
      </w:r>
      <w:r w:rsidR="0079217F" w:rsidRPr="0096488C">
        <w:t>2023</w:t>
      </w:r>
      <w:r w:rsidR="00862C47" w:rsidRPr="0096488C">
        <w:t>)</w:t>
      </w:r>
      <w:r w:rsidR="007057DD" w:rsidRPr="0096488C">
        <w:t xml:space="preserve"> để xây dựng dự thảo Hồ sơ Nghị định. Dự thảo Hồ sơ Nghị định đã được xin ý kiến các thành viên BST, TBT và các cơ quan, đơn vị có liên quan tại cuộc họp BST, TBT lần 1 ngày </w:t>
      </w:r>
      <w:r w:rsidR="00F128CC" w:rsidRPr="0096488C">
        <w:t>2</w:t>
      </w:r>
      <w:r w:rsidR="00AD066A" w:rsidRPr="0096488C">
        <w:t>1/9/2023 để hoàn thiện trước khi gửi xin ý kiến rộng rãi.</w:t>
      </w:r>
    </w:p>
    <w:p w14:paraId="61F6D579" w14:textId="44841F3F" w:rsidR="00864927" w:rsidRPr="0096488C" w:rsidRDefault="0084432D" w:rsidP="0096488C">
      <w:pPr>
        <w:spacing w:before="60" w:after="60" w:line="264" w:lineRule="auto"/>
        <w:ind w:firstLine="720"/>
        <w:jc w:val="both"/>
      </w:pPr>
      <w:r w:rsidRPr="0096488C">
        <w:t>2.</w:t>
      </w:r>
      <w:r w:rsidR="00862C47" w:rsidRPr="0096488C">
        <w:t xml:space="preserve"> T</w:t>
      </w:r>
      <w:r w:rsidR="00201228" w:rsidRPr="0096488C">
        <w:t>ổ chức lấy ý kiến bằng</w:t>
      </w:r>
      <w:r w:rsidR="00941EF8" w:rsidRPr="0096488C">
        <w:t xml:space="preserve"> văn bản của các Bộ, ngành, </w:t>
      </w:r>
      <w:r w:rsidR="006333C8" w:rsidRPr="0096488C">
        <w:t>địa phương</w:t>
      </w:r>
      <w:r w:rsidR="00754B33" w:rsidRPr="0096488C">
        <w:t>, cơ quan liên quan</w:t>
      </w:r>
      <w:r w:rsidR="006333C8" w:rsidRPr="0096488C">
        <w:t xml:space="preserve"> và </w:t>
      </w:r>
      <w:r w:rsidR="00754B33" w:rsidRPr="0096488C">
        <w:t>các đối tượng chịu tác động trực tiếp của Nghị định</w:t>
      </w:r>
      <w:r w:rsidR="00862C47" w:rsidRPr="0096488C">
        <w:t xml:space="preserve"> (Công văn số</w:t>
      </w:r>
      <w:r w:rsidR="00564603" w:rsidRPr="0096488C">
        <w:t xml:space="preserve"> 8308 </w:t>
      </w:r>
      <w:r w:rsidR="00862C47" w:rsidRPr="0096488C">
        <w:t>/BKHĐT</w:t>
      </w:r>
      <w:r w:rsidR="00564603" w:rsidRPr="0096488C">
        <w:t>-KTHT</w:t>
      </w:r>
      <w:r w:rsidR="00862C47" w:rsidRPr="0096488C">
        <w:t xml:space="preserve"> ngày </w:t>
      </w:r>
      <w:r w:rsidR="00564603" w:rsidRPr="0096488C">
        <w:t>06</w:t>
      </w:r>
      <w:r w:rsidR="00A460A8">
        <w:t>/</w:t>
      </w:r>
      <w:r w:rsidR="00564603" w:rsidRPr="0096488C">
        <w:t>10</w:t>
      </w:r>
      <w:r w:rsidR="00A460A8">
        <w:t>/</w:t>
      </w:r>
      <w:r w:rsidR="00564603" w:rsidRPr="0096488C">
        <w:t>2023</w:t>
      </w:r>
      <w:r w:rsidR="00862C47" w:rsidRPr="0096488C">
        <w:t>)</w:t>
      </w:r>
      <w:r w:rsidR="00754B33" w:rsidRPr="0096488C">
        <w:t>.</w:t>
      </w:r>
    </w:p>
    <w:p w14:paraId="55687166" w14:textId="299FEA37" w:rsidR="0077797E" w:rsidRPr="0096488C" w:rsidRDefault="007B6E33" w:rsidP="0096488C">
      <w:pPr>
        <w:spacing w:before="60" w:after="60" w:line="264" w:lineRule="auto"/>
        <w:ind w:firstLine="720"/>
        <w:jc w:val="both"/>
      </w:pPr>
      <w:r w:rsidRPr="0096488C">
        <w:t xml:space="preserve">Dự thảo Nghị định được đăng tải trên Cổng thông tin điện tử của Bộ Kế hoạch và Đầu tư </w:t>
      </w:r>
      <w:r w:rsidR="004A7778" w:rsidRPr="0096488C">
        <w:t>và Cổng thông tin đ</w:t>
      </w:r>
      <w:r w:rsidR="007A049A" w:rsidRPr="0096488C">
        <w:t>iện</w:t>
      </w:r>
      <w:r w:rsidR="004A7778" w:rsidRPr="0096488C">
        <w:t xml:space="preserve"> tử của Chính phủ </w:t>
      </w:r>
      <w:r w:rsidRPr="0096488C">
        <w:t>để lấy ý kiến các đối tượng quan tâm</w:t>
      </w:r>
      <w:r w:rsidR="00754B33" w:rsidRPr="0096488C">
        <w:t xml:space="preserve"> trong 60 ngày kể từ ngày</w:t>
      </w:r>
      <w:r w:rsidR="00A741C8" w:rsidRPr="0096488C">
        <w:t xml:space="preserve"> </w:t>
      </w:r>
      <w:r w:rsidR="00564603" w:rsidRPr="0096488C">
        <w:t>06</w:t>
      </w:r>
      <w:r w:rsidR="00A460A8">
        <w:t>/</w:t>
      </w:r>
      <w:r w:rsidR="00A741C8" w:rsidRPr="0096488C">
        <w:t>10</w:t>
      </w:r>
      <w:r w:rsidR="00A460A8">
        <w:t>/</w:t>
      </w:r>
      <w:r w:rsidR="00A741C8" w:rsidRPr="0096488C">
        <w:t>2023</w:t>
      </w:r>
      <w:r w:rsidR="00693E62" w:rsidRPr="0096488C">
        <w:t xml:space="preserve"> đến ngày 8/12/2023</w:t>
      </w:r>
      <w:r w:rsidR="00862C47" w:rsidRPr="0096488C">
        <w:t>.</w:t>
      </w:r>
    </w:p>
    <w:p w14:paraId="22D34C38" w14:textId="221752C4" w:rsidR="00754B33" w:rsidRPr="0096488C" w:rsidRDefault="00754B33" w:rsidP="0096488C">
      <w:pPr>
        <w:spacing w:before="60" w:after="60" w:line="264" w:lineRule="auto"/>
        <w:ind w:firstLine="720"/>
        <w:jc w:val="both"/>
      </w:pPr>
      <w:r w:rsidRPr="0096488C">
        <w:t xml:space="preserve">Đến ngày </w:t>
      </w:r>
      <w:r w:rsidR="002F0503" w:rsidRPr="0096488C">
        <w:t>31</w:t>
      </w:r>
      <w:r w:rsidR="00564603" w:rsidRPr="0096488C">
        <w:t>/12/2023</w:t>
      </w:r>
      <w:r w:rsidRPr="0096488C">
        <w:t>, Bộ Kế hoạch và Đầu tư đã nhận được</w:t>
      </w:r>
      <w:r w:rsidR="00785DA9" w:rsidRPr="0096488C">
        <w:t xml:space="preserve"> </w:t>
      </w:r>
      <w:r w:rsidR="002F0503" w:rsidRPr="0096488C">
        <w:t>242</w:t>
      </w:r>
      <w:r w:rsidR="00D91F06" w:rsidRPr="0096488C">
        <w:t xml:space="preserve"> ý kiến đóng góp của</w:t>
      </w:r>
      <w:r w:rsidR="00564603" w:rsidRPr="0096488C">
        <w:t xml:space="preserve"> 29/35</w:t>
      </w:r>
      <w:r w:rsidR="00694BD0" w:rsidRPr="0096488C">
        <w:t xml:space="preserve"> bộ, ngành</w:t>
      </w:r>
      <w:r w:rsidR="00960742" w:rsidRPr="0096488C">
        <w:rPr>
          <w:rStyle w:val="FootnoteReference"/>
        </w:rPr>
        <w:footnoteReference w:id="11"/>
      </w:r>
      <w:r w:rsidR="00564603" w:rsidRPr="0096488C">
        <w:t xml:space="preserve"> và các cơ quan liên quan</w:t>
      </w:r>
      <w:r w:rsidR="00694BD0" w:rsidRPr="0096488C">
        <w:t xml:space="preserve">, </w:t>
      </w:r>
      <w:r w:rsidR="00564603" w:rsidRPr="0096488C">
        <w:t>6</w:t>
      </w:r>
      <w:r w:rsidR="00A460A8">
        <w:t>0</w:t>
      </w:r>
      <w:r w:rsidR="00564603" w:rsidRPr="0096488C">
        <w:t xml:space="preserve">/63 </w:t>
      </w:r>
      <w:r w:rsidR="00694BD0" w:rsidRPr="0096488C">
        <w:t>địa phương</w:t>
      </w:r>
      <w:r w:rsidR="00EF52E4" w:rsidRPr="0096488C">
        <w:t xml:space="preserve">, </w:t>
      </w:r>
      <w:r w:rsidR="00A460A8">
        <w:t xml:space="preserve">01 </w:t>
      </w:r>
      <w:r w:rsidR="00EF52E4" w:rsidRPr="0096488C">
        <w:t>tổ chức</w:t>
      </w:r>
      <w:r w:rsidR="00960742" w:rsidRPr="0096488C">
        <w:rPr>
          <w:rStyle w:val="FootnoteReference"/>
        </w:rPr>
        <w:footnoteReference w:id="12"/>
      </w:r>
      <w:r w:rsidR="000A71E2" w:rsidRPr="0096488C">
        <w:t>.</w:t>
      </w:r>
      <w:r w:rsidR="00694BD0" w:rsidRPr="0096488C">
        <w:t xml:space="preserve"> </w:t>
      </w:r>
    </w:p>
    <w:p w14:paraId="7BD6895C" w14:textId="4CA8BF91" w:rsidR="009A0865" w:rsidRPr="0096488C" w:rsidRDefault="009A0865" w:rsidP="0096488C">
      <w:pPr>
        <w:spacing w:before="60" w:after="60" w:line="264" w:lineRule="auto"/>
        <w:ind w:firstLine="720"/>
        <w:jc w:val="both"/>
      </w:pPr>
      <w:r w:rsidRPr="0096488C">
        <w:t xml:space="preserve">3. </w:t>
      </w:r>
      <w:r w:rsidR="009E204E" w:rsidRPr="0096488C">
        <w:t xml:space="preserve">Trên cơ sở ý kiến của các bộ, ngành, địa phương, cơ quan chủ trì soạn thảo </w:t>
      </w:r>
      <w:r w:rsidR="00F679B9" w:rsidRPr="0096488C">
        <w:t xml:space="preserve">đã tiếp thu, chỉnh lý và </w:t>
      </w:r>
      <w:r w:rsidRPr="0096488C">
        <w:t xml:space="preserve">lấy ý kiến các Bộ, ngành, địa phương bằng văn bản lần 2 </w:t>
      </w:r>
      <w:r w:rsidR="009F086E" w:rsidRPr="0096488C">
        <w:t xml:space="preserve">đối với dự thảo Tờ trình và dự thảo Nghị định (Công văn số </w:t>
      </w:r>
      <w:r w:rsidR="00B416E6" w:rsidRPr="0096488C">
        <w:t>1044</w:t>
      </w:r>
      <w:r w:rsidR="009F086E" w:rsidRPr="0096488C">
        <w:t>/BKHĐT-KTHT ngày 0</w:t>
      </w:r>
      <w:r w:rsidR="00A460A8">
        <w:t>7/</w:t>
      </w:r>
      <w:r w:rsidR="009F086E" w:rsidRPr="0096488C">
        <w:t>02</w:t>
      </w:r>
      <w:r w:rsidR="00A460A8">
        <w:t>/</w:t>
      </w:r>
      <w:r w:rsidR="009F086E" w:rsidRPr="0096488C">
        <w:t>2024). Đến hết ngày 2</w:t>
      </w:r>
      <w:r w:rsidR="006812CE" w:rsidRPr="0096488C">
        <w:t>6</w:t>
      </w:r>
      <w:r w:rsidR="00A460A8">
        <w:t>/</w:t>
      </w:r>
      <w:r w:rsidR="009F086E" w:rsidRPr="0096488C">
        <w:t>02</w:t>
      </w:r>
      <w:r w:rsidR="00A460A8">
        <w:t>/</w:t>
      </w:r>
      <w:r w:rsidR="009F086E" w:rsidRPr="0096488C">
        <w:t xml:space="preserve">2024, Bộ Kế hoạch và Đầu tư đã nhận được ý kiến đóng góp của </w:t>
      </w:r>
      <w:r w:rsidR="00060D86" w:rsidRPr="0096488C">
        <w:t>62</w:t>
      </w:r>
      <w:r w:rsidR="006812CE" w:rsidRPr="0096488C">
        <w:t xml:space="preserve"> cơ quan, địa phương (1</w:t>
      </w:r>
      <w:r w:rsidR="002F0503" w:rsidRPr="0096488C">
        <w:t xml:space="preserve">3 </w:t>
      </w:r>
      <w:r w:rsidR="009F086E" w:rsidRPr="0096488C">
        <w:t xml:space="preserve">bộ, ngành và </w:t>
      </w:r>
      <w:r w:rsidR="006812CE" w:rsidRPr="0096488C">
        <w:t>4</w:t>
      </w:r>
      <w:r w:rsidR="00060D86" w:rsidRPr="0096488C">
        <w:t>9</w:t>
      </w:r>
      <w:r w:rsidR="006812CE" w:rsidRPr="0096488C">
        <w:t xml:space="preserve"> địa phương</w:t>
      </w:r>
      <w:r w:rsidR="00491888" w:rsidRPr="0096488C">
        <w:t>)</w:t>
      </w:r>
      <w:r w:rsidR="009F086E" w:rsidRPr="0096488C">
        <w:t>.</w:t>
      </w:r>
    </w:p>
    <w:p w14:paraId="2CC533B3" w14:textId="5597DCF5" w:rsidR="007057DD" w:rsidRPr="0096488C" w:rsidRDefault="00060D86" w:rsidP="0096488C">
      <w:pPr>
        <w:spacing w:before="60" w:after="60" w:line="264" w:lineRule="auto"/>
        <w:ind w:firstLine="720"/>
        <w:jc w:val="both"/>
      </w:pPr>
      <w:r w:rsidRPr="0096488C">
        <w:t>4</w:t>
      </w:r>
      <w:r w:rsidR="001B1B27" w:rsidRPr="0096488C">
        <w:t xml:space="preserve">. </w:t>
      </w:r>
      <w:r w:rsidR="00904BAC" w:rsidRPr="0096488C">
        <w:t xml:space="preserve">Trong quá trình xây dựng dự thảo Nghị định, </w:t>
      </w:r>
      <w:r w:rsidR="006812CE" w:rsidRPr="0096488C">
        <w:t>cơ quan chủ trì soạn thảo</w:t>
      </w:r>
      <w:r w:rsidR="00904BAC" w:rsidRPr="0096488C">
        <w:t xml:space="preserve"> </w:t>
      </w:r>
      <w:r w:rsidR="006812CE" w:rsidRPr="0096488C">
        <w:t xml:space="preserve">cũng </w:t>
      </w:r>
      <w:r w:rsidR="00904BAC" w:rsidRPr="0096488C">
        <w:t xml:space="preserve">đã tổ </w:t>
      </w:r>
      <w:r w:rsidR="00AA6675" w:rsidRPr="0096488C">
        <w:t>chức nhiều cuộc hội thảo</w:t>
      </w:r>
      <w:r w:rsidR="00051877" w:rsidRPr="0096488C">
        <w:t>, khảo sát</w:t>
      </w:r>
      <w:r w:rsidR="00AA6675" w:rsidRPr="0096488C">
        <w:t xml:space="preserve"> lấy ý kiến đóng góp </w:t>
      </w:r>
      <w:r w:rsidR="00051877" w:rsidRPr="0096488C">
        <w:t>của các cơ quan,</w:t>
      </w:r>
      <w:r w:rsidR="00C02EAD" w:rsidRPr="0096488C">
        <w:t xml:space="preserve"> chuyên gia,</w:t>
      </w:r>
      <w:r w:rsidR="00051877" w:rsidRPr="0096488C">
        <w:t xml:space="preserve"> các tổ hợp tác, HTX, liên hiệp HTX </w:t>
      </w:r>
      <w:r w:rsidR="00AA6675" w:rsidRPr="0096488C">
        <w:t xml:space="preserve">cho dự thảo Nghị định tại </w:t>
      </w:r>
      <w:r w:rsidR="0082203F" w:rsidRPr="0096488C">
        <w:t>10</w:t>
      </w:r>
      <w:r w:rsidR="00AA6675" w:rsidRPr="0096488C">
        <w:t xml:space="preserve"> địa phương</w:t>
      </w:r>
      <w:r w:rsidR="00AA6675" w:rsidRPr="0096488C">
        <w:footnoteReference w:id="13"/>
      </w:r>
      <w:r w:rsidR="0082203F" w:rsidRPr="0096488C">
        <w:t xml:space="preserve"> với đại diện của 16 tỉnh/thành phố</w:t>
      </w:r>
      <w:r w:rsidR="0082203F" w:rsidRPr="0096488C">
        <w:footnoteReference w:id="14"/>
      </w:r>
      <w:r w:rsidR="00AA6675" w:rsidRPr="0096488C">
        <w:t xml:space="preserve">, </w:t>
      </w:r>
      <w:r w:rsidR="007E53C5" w:rsidRPr="0096488C">
        <w:t xml:space="preserve">tại </w:t>
      </w:r>
      <w:r w:rsidR="00AA6675" w:rsidRPr="0096488C">
        <w:t xml:space="preserve">Liên minh HTX Việt Nam (trực tuyến với Liên minh HTX 63 tỉnh/thành phố trực thuộc Trung ương); xin ý kiến trực tiếp </w:t>
      </w:r>
      <w:r w:rsidR="00DB076B" w:rsidRPr="0096488C">
        <w:t>một số</w:t>
      </w:r>
      <w:r w:rsidR="00AA6675" w:rsidRPr="0096488C">
        <w:t xml:space="preserve"> Bộ, ngành</w:t>
      </w:r>
      <w:r w:rsidR="00BF39E7" w:rsidRPr="0096488C">
        <w:t>, gồm</w:t>
      </w:r>
      <w:r w:rsidR="00DB076B" w:rsidRPr="0096488C">
        <w:t>:</w:t>
      </w:r>
      <w:r w:rsidR="00BF39E7" w:rsidRPr="0096488C">
        <w:t xml:space="preserve"> Bộ Tư pháp, Bộ Tài chính, Bộ Nông nghiệp và Phát triển nông thôn, Ngân hàng Nhà nước Việt Nam, Liên minh HTX Việt Nam</w:t>
      </w:r>
      <w:r w:rsidR="00AA6675" w:rsidRPr="0096488C">
        <w:t xml:space="preserve"> (thông qua các cuộc họp và bằng văn bản) về các nội dung</w:t>
      </w:r>
      <w:r w:rsidR="003545E9" w:rsidRPr="0096488C">
        <w:t xml:space="preserve"> cụ thể</w:t>
      </w:r>
      <w:r w:rsidR="00AA6675" w:rsidRPr="0096488C">
        <w:t xml:space="preserve"> của </w:t>
      </w:r>
      <w:r w:rsidR="00AA6675" w:rsidRPr="0096488C">
        <w:lastRenderedPageBreak/>
        <w:t>dự thảo Nghị định</w:t>
      </w:r>
      <w:r w:rsidR="002F54B7" w:rsidRPr="0096488C">
        <w:t>;</w:t>
      </w:r>
      <w:r w:rsidR="00AA6675" w:rsidRPr="0096488C">
        <w:t xml:space="preserve"> </w:t>
      </w:r>
      <w:r w:rsidR="002F54B7" w:rsidRPr="0096488C">
        <w:t xml:space="preserve">tổ chức họp BST, TBT lần 2 </w:t>
      </w:r>
      <w:r w:rsidR="006812CE" w:rsidRPr="0096488C">
        <w:t xml:space="preserve">cho ý kiến đối với dự thảo hồ sơ Nghị định </w:t>
      </w:r>
      <w:r w:rsidR="002F54B7" w:rsidRPr="0096488C">
        <w:t>vào ngày 31/01/2024.</w:t>
      </w:r>
      <w:r w:rsidR="00AA6675" w:rsidRPr="0096488C">
        <w:t xml:space="preserve"> </w:t>
      </w:r>
    </w:p>
    <w:p w14:paraId="103314AF" w14:textId="543B9537" w:rsidR="007057DD" w:rsidRPr="0096488C" w:rsidRDefault="007057DD" w:rsidP="0096488C">
      <w:pPr>
        <w:spacing w:before="60" w:after="60" w:line="264" w:lineRule="auto"/>
        <w:ind w:firstLine="720"/>
        <w:jc w:val="both"/>
      </w:pPr>
      <w:r w:rsidRPr="0096488C">
        <w:t xml:space="preserve">Trên cơ sở nghiên cứu, tiếp thu ý kiến của các Bộ, ngành, địa phương, </w:t>
      </w:r>
      <w:r w:rsidR="00A9225C" w:rsidRPr="0096488C">
        <w:t xml:space="preserve">thành viên BST, TBT, </w:t>
      </w:r>
      <w:r w:rsidRPr="0096488C">
        <w:t>các cơ quan</w:t>
      </w:r>
      <w:r w:rsidR="00A23BDE" w:rsidRPr="0096488C">
        <w:t>, tổ chức, cá nhân có liên quan</w:t>
      </w:r>
      <w:r w:rsidRPr="0096488C">
        <w:t xml:space="preserve">, </w:t>
      </w:r>
      <w:r w:rsidR="007E6D12" w:rsidRPr="0096488C">
        <w:t xml:space="preserve">các tổ hợp tác, HTX, liên hiệp HTX và Hệ thống Liên minh HTX Việt Nam, </w:t>
      </w:r>
      <w:r w:rsidRPr="0096488C">
        <w:t xml:space="preserve">Bộ Kế hoạch và Đầu tư </w:t>
      </w:r>
      <w:r w:rsidR="006A7394" w:rsidRPr="0096488C">
        <w:t xml:space="preserve">đã chỉnh lý, </w:t>
      </w:r>
      <w:r w:rsidRPr="0096488C">
        <w:t xml:space="preserve">hoàn thiện </w:t>
      </w:r>
      <w:r w:rsidR="006A7394" w:rsidRPr="0096488C">
        <w:t>Hồ sơ xây dựng</w:t>
      </w:r>
      <w:r w:rsidRPr="0096488C">
        <w:t xml:space="preserve"> Nghị định</w:t>
      </w:r>
      <w:r w:rsidR="006A7394" w:rsidRPr="0096488C">
        <w:t>.</w:t>
      </w:r>
    </w:p>
    <w:p w14:paraId="1F1FC4FB" w14:textId="02B0AA53" w:rsidR="00754B33" w:rsidRPr="0096488C" w:rsidRDefault="00060D86" w:rsidP="0096488C">
      <w:pPr>
        <w:spacing w:before="60" w:after="60" w:line="264" w:lineRule="auto"/>
        <w:ind w:firstLine="720"/>
        <w:jc w:val="both"/>
      </w:pPr>
      <w:r w:rsidRPr="0096488C">
        <w:t>5</w:t>
      </w:r>
      <w:r w:rsidR="007746BC" w:rsidRPr="0096488C">
        <w:t>.</w:t>
      </w:r>
      <w:r w:rsidR="00CF4FBB" w:rsidRPr="0096488C">
        <w:t xml:space="preserve"> </w:t>
      </w:r>
      <w:r w:rsidR="00694BD0" w:rsidRPr="0096488C">
        <w:t>Ngày…</w:t>
      </w:r>
      <w:proofErr w:type="gramStart"/>
      <w:r w:rsidR="00694BD0" w:rsidRPr="0096488C">
        <w:t>…..</w:t>
      </w:r>
      <w:proofErr w:type="gramEnd"/>
      <w:r w:rsidR="00694BD0" w:rsidRPr="0096488C">
        <w:t xml:space="preserve">, Bộ Kế hoạch và Đầu tư đã có Công văn số ……/BKHĐT-KTHT gửi Bộ Tư pháp thẩm định </w:t>
      </w:r>
      <w:r w:rsidR="009E7305" w:rsidRPr="0096488C">
        <w:t xml:space="preserve">Hồ sơ xây dựng </w:t>
      </w:r>
      <w:r w:rsidR="00694BD0" w:rsidRPr="0096488C">
        <w:t xml:space="preserve">Nghị định quy định chi tiết một số điều và biện pháp thi hành Luật </w:t>
      </w:r>
      <w:r w:rsidR="00DB076B" w:rsidRPr="0096488C">
        <w:t>HTX</w:t>
      </w:r>
      <w:r w:rsidR="007746BC" w:rsidRPr="0096488C">
        <w:t xml:space="preserve"> theo đúng quy định</w:t>
      </w:r>
      <w:r w:rsidR="00694BD0" w:rsidRPr="0096488C">
        <w:t>.</w:t>
      </w:r>
      <w:r w:rsidR="007057DD" w:rsidRPr="0096488C">
        <w:t xml:space="preserve"> </w:t>
      </w:r>
    </w:p>
    <w:p w14:paraId="20D49359" w14:textId="5FA81CC9" w:rsidR="0077797E" w:rsidRPr="0096488C" w:rsidRDefault="00060D86" w:rsidP="0096488C">
      <w:pPr>
        <w:spacing w:before="60" w:after="60" w:line="264" w:lineRule="auto"/>
        <w:ind w:firstLine="720"/>
        <w:jc w:val="both"/>
      </w:pPr>
      <w:r w:rsidRPr="0096488C">
        <w:t>6</w:t>
      </w:r>
      <w:r w:rsidR="001B1B27" w:rsidRPr="0096488C">
        <w:t xml:space="preserve">. </w:t>
      </w:r>
      <w:r w:rsidR="007746BC" w:rsidRPr="0096488C">
        <w:t>Căn cứ</w:t>
      </w:r>
      <w:r w:rsidR="0077797E" w:rsidRPr="0096488C">
        <w:t xml:space="preserve"> ý kiến thẩm định của </w:t>
      </w:r>
      <w:r w:rsidR="007746BC" w:rsidRPr="0096488C">
        <w:t>Hội đồng thẩm định tại cuộc họp ngày</w:t>
      </w:r>
      <w:proofErr w:type="gramStart"/>
      <w:r w:rsidR="007746BC" w:rsidRPr="0096488C">
        <w:t>…..</w:t>
      </w:r>
      <w:proofErr w:type="gramEnd"/>
      <w:r w:rsidR="007746BC" w:rsidRPr="0096488C">
        <w:t xml:space="preserve"> và ý kiến của </w:t>
      </w:r>
      <w:r w:rsidR="0077797E" w:rsidRPr="0096488C">
        <w:t xml:space="preserve">Bộ Tư pháp </w:t>
      </w:r>
      <w:r w:rsidR="007746BC" w:rsidRPr="0096488C">
        <w:t xml:space="preserve">tại Báo cáo thẩm định </w:t>
      </w:r>
      <w:r w:rsidR="00754B33" w:rsidRPr="0096488C">
        <w:t>số……</w:t>
      </w:r>
      <w:r w:rsidR="007057DD" w:rsidRPr="0096488C">
        <w:t xml:space="preserve">/BC-HĐTĐ </w:t>
      </w:r>
      <w:r w:rsidR="00754B33" w:rsidRPr="0096488C">
        <w:t xml:space="preserve">ngày…. </w:t>
      </w:r>
      <w:r w:rsidR="001B1B27" w:rsidRPr="0096488C">
        <w:t>v</w:t>
      </w:r>
      <w:r w:rsidR="0077797E" w:rsidRPr="0096488C">
        <w:t>à ý kiến của các Bộ, ngành, địa phương</w:t>
      </w:r>
      <w:r w:rsidR="00754B33" w:rsidRPr="0096488C">
        <w:t xml:space="preserve"> và các cơ quan liên quan</w:t>
      </w:r>
      <w:r w:rsidR="0077797E" w:rsidRPr="0096488C">
        <w:t>, Bộ Kế hoạch và Đầu tư hoàn thiện dự thảo Nghị định, trình Chính phủ</w:t>
      </w:r>
      <w:r w:rsidR="00694BD0" w:rsidRPr="0096488C">
        <w:t xml:space="preserve"> theo quy định</w:t>
      </w:r>
      <w:r w:rsidR="0077797E" w:rsidRPr="0096488C">
        <w:t xml:space="preserve">.   </w:t>
      </w:r>
    </w:p>
    <w:p w14:paraId="16257FB9" w14:textId="30A6CBF9" w:rsidR="00CF3323" w:rsidRPr="0096488C" w:rsidRDefault="00EF1273" w:rsidP="0096488C">
      <w:pPr>
        <w:pStyle w:val="Heading1"/>
        <w:spacing w:before="60" w:after="60" w:line="264" w:lineRule="auto"/>
        <w:ind w:firstLine="720"/>
      </w:pPr>
      <w:r w:rsidRPr="0096488C">
        <w:t>I</w:t>
      </w:r>
      <w:r w:rsidR="000A71E2" w:rsidRPr="0096488C">
        <w:t>V</w:t>
      </w:r>
      <w:r w:rsidRPr="0096488C">
        <w:t xml:space="preserve">. </w:t>
      </w:r>
      <w:r w:rsidR="000A71E2" w:rsidRPr="0096488C">
        <w:t xml:space="preserve">BỐ CỤC VÀ </w:t>
      </w:r>
      <w:r w:rsidR="00CF3323" w:rsidRPr="0096488C">
        <w:t xml:space="preserve">NỘI DUNG CHỦ YẾU CỦA </w:t>
      </w:r>
      <w:r w:rsidR="00942714" w:rsidRPr="0096488C">
        <w:t>DỰ THẢO NGHỊ ĐỊNH</w:t>
      </w:r>
      <w:r w:rsidR="00CF3323" w:rsidRPr="0096488C">
        <w:t xml:space="preserve"> </w:t>
      </w:r>
    </w:p>
    <w:p w14:paraId="3F951B25" w14:textId="4A12AC4D" w:rsidR="00113A34" w:rsidRPr="0096488C" w:rsidRDefault="00113A34" w:rsidP="0096488C">
      <w:pPr>
        <w:pStyle w:val="Heading3"/>
        <w:numPr>
          <w:ilvl w:val="0"/>
          <w:numId w:val="22"/>
        </w:numPr>
        <w:tabs>
          <w:tab w:val="left" w:pos="990"/>
        </w:tabs>
        <w:spacing w:before="60" w:after="60"/>
        <w:ind w:left="0" w:firstLine="720"/>
      </w:pPr>
      <w:r w:rsidRPr="0096488C">
        <w:t>Bố cục</w:t>
      </w:r>
    </w:p>
    <w:p w14:paraId="37A18D23" w14:textId="629A09E8" w:rsidR="00B7518E" w:rsidRPr="0096488C" w:rsidRDefault="00DF3ACB" w:rsidP="0096488C">
      <w:pPr>
        <w:spacing w:before="60" w:after="60" w:line="264" w:lineRule="auto"/>
        <w:ind w:firstLine="720"/>
        <w:jc w:val="both"/>
      </w:pPr>
      <w:r w:rsidRPr="0096488C">
        <w:t>Dự thảo Nghị định có</w:t>
      </w:r>
      <w:r w:rsidR="00A741C8" w:rsidRPr="0096488C">
        <w:t xml:space="preserve"> 0</w:t>
      </w:r>
      <w:r w:rsidR="0015612D" w:rsidRPr="0096488C">
        <w:t>6</w:t>
      </w:r>
      <w:r w:rsidR="00583FE4" w:rsidRPr="0096488C">
        <w:t xml:space="preserve"> Chương</w:t>
      </w:r>
      <w:r w:rsidR="007200F7" w:rsidRPr="0096488C">
        <w:t>,</w:t>
      </w:r>
      <w:r w:rsidR="00DF6546" w:rsidRPr="0096488C">
        <w:t xml:space="preserve"> </w:t>
      </w:r>
      <w:r w:rsidR="007B1094" w:rsidRPr="0096488C">
        <w:t>2</w:t>
      </w:r>
      <w:r w:rsidR="00D8154B" w:rsidRPr="0096488C">
        <w:t>5</w:t>
      </w:r>
      <w:r w:rsidR="00A741C8" w:rsidRPr="0096488C">
        <w:t xml:space="preserve"> </w:t>
      </w:r>
      <w:r w:rsidR="00B7518E" w:rsidRPr="0096488C">
        <w:t>Điề</w:t>
      </w:r>
      <w:r w:rsidR="00DF6546" w:rsidRPr="0096488C">
        <w:t>u và Phụ lục</w:t>
      </w:r>
      <w:r w:rsidR="0015634F" w:rsidRPr="0096488C">
        <w:t>,</w:t>
      </w:r>
      <w:r w:rsidR="00B7518E" w:rsidRPr="0096488C">
        <w:t xml:space="preserve"> </w:t>
      </w:r>
      <w:r w:rsidR="000D6878" w:rsidRPr="0096488C">
        <w:t>cụ thể</w:t>
      </w:r>
      <w:r w:rsidR="00B7518E" w:rsidRPr="0096488C">
        <w:t>:</w:t>
      </w:r>
    </w:p>
    <w:p w14:paraId="6862D9B5" w14:textId="61AEC580" w:rsidR="0060717C" w:rsidRPr="0096488C" w:rsidRDefault="00D63100" w:rsidP="0096488C">
      <w:pPr>
        <w:pStyle w:val="Heading4"/>
        <w:numPr>
          <w:ilvl w:val="1"/>
          <w:numId w:val="15"/>
        </w:numPr>
        <w:tabs>
          <w:tab w:val="left" w:pos="1170"/>
        </w:tabs>
        <w:spacing w:before="60" w:after="60"/>
        <w:ind w:left="0" w:firstLine="720"/>
      </w:pPr>
      <w:r w:rsidRPr="0096488C">
        <w:t xml:space="preserve"> </w:t>
      </w:r>
      <w:r w:rsidR="000D6878" w:rsidRPr="0096488C">
        <w:t>Chương I</w:t>
      </w:r>
      <w:r w:rsidR="000D6878" w:rsidRPr="0096488C">
        <w:rPr>
          <w:lang w:val="en-US"/>
        </w:rPr>
        <w:t xml:space="preserve"> về</w:t>
      </w:r>
      <w:r w:rsidR="000D6878" w:rsidRPr="0096488C">
        <w:t xml:space="preserve"> </w:t>
      </w:r>
      <w:r w:rsidR="008E1633" w:rsidRPr="0096488C">
        <w:t>Q</w:t>
      </w:r>
      <w:r w:rsidR="000D6878" w:rsidRPr="0096488C">
        <w:t>uy định chung</w:t>
      </w:r>
      <w:r w:rsidR="0060717C" w:rsidRPr="0096488C">
        <w:t xml:space="preserve">, </w:t>
      </w:r>
      <w:r w:rsidR="0060717C" w:rsidRPr="0096488C">
        <w:rPr>
          <w:i w:val="0"/>
          <w:iCs w:val="0"/>
        </w:rPr>
        <w:t>gồm</w:t>
      </w:r>
      <w:r w:rsidR="000D6878" w:rsidRPr="0096488C">
        <w:rPr>
          <w:i w:val="0"/>
          <w:iCs w:val="0"/>
        </w:rPr>
        <w:t xml:space="preserve"> 0</w:t>
      </w:r>
      <w:r w:rsidR="00DB40B5" w:rsidRPr="0096488C">
        <w:rPr>
          <w:i w:val="0"/>
          <w:iCs w:val="0"/>
        </w:rPr>
        <w:t>3</w:t>
      </w:r>
      <w:r w:rsidR="000D6878" w:rsidRPr="0096488C">
        <w:rPr>
          <w:i w:val="0"/>
          <w:iCs w:val="0"/>
        </w:rPr>
        <w:t xml:space="preserve"> Điều (từ Điều 1 đến Điều 3) </w:t>
      </w:r>
      <w:r w:rsidR="000D6878" w:rsidRPr="0096488C">
        <w:rPr>
          <w:i w:val="0"/>
          <w:iCs w:val="0"/>
          <w:szCs w:val="28"/>
          <w:lang w:val="sv-SE"/>
        </w:rPr>
        <w:t>quy định về phạm vi điều chỉnh</w:t>
      </w:r>
      <w:r w:rsidR="00207D7C" w:rsidRPr="0096488C">
        <w:rPr>
          <w:i w:val="0"/>
          <w:iCs w:val="0"/>
          <w:szCs w:val="28"/>
          <w:lang w:val="sv-SE"/>
        </w:rPr>
        <w:t>;</w:t>
      </w:r>
      <w:r w:rsidR="00140E0E" w:rsidRPr="0096488C">
        <w:rPr>
          <w:i w:val="0"/>
          <w:iCs w:val="0"/>
          <w:szCs w:val="28"/>
          <w:lang w:val="sv-SE"/>
        </w:rPr>
        <w:t xml:space="preserve"> </w:t>
      </w:r>
      <w:r w:rsidR="000D6878" w:rsidRPr="0096488C">
        <w:rPr>
          <w:i w:val="0"/>
          <w:iCs w:val="0"/>
          <w:szCs w:val="28"/>
          <w:lang w:val="sv-SE"/>
        </w:rPr>
        <w:t>đối tượng áp dụng</w:t>
      </w:r>
      <w:r w:rsidR="00207D7C" w:rsidRPr="0096488C">
        <w:rPr>
          <w:i w:val="0"/>
          <w:iCs w:val="0"/>
          <w:szCs w:val="28"/>
          <w:lang w:val="sv-SE"/>
        </w:rPr>
        <w:t>;</w:t>
      </w:r>
      <w:r w:rsidR="00140E0E" w:rsidRPr="0096488C">
        <w:rPr>
          <w:i w:val="0"/>
          <w:iCs w:val="0"/>
          <w:szCs w:val="28"/>
          <w:lang w:val="sv-SE"/>
        </w:rPr>
        <w:t xml:space="preserve"> </w:t>
      </w:r>
      <w:r w:rsidR="000D6878" w:rsidRPr="0096488C">
        <w:rPr>
          <w:i w:val="0"/>
          <w:iCs w:val="0"/>
          <w:szCs w:val="28"/>
          <w:lang w:val="sv-SE"/>
        </w:rPr>
        <w:t>giải thích từ ngữ</w:t>
      </w:r>
      <w:r w:rsidR="000D6878" w:rsidRPr="0096488C">
        <w:rPr>
          <w:szCs w:val="28"/>
          <w:lang w:val="sv-SE"/>
        </w:rPr>
        <w:t>.</w:t>
      </w:r>
    </w:p>
    <w:p w14:paraId="21142AEC" w14:textId="648997AF" w:rsidR="00207D7C" w:rsidRPr="0096488C" w:rsidRDefault="0060717C" w:rsidP="0096488C">
      <w:pPr>
        <w:pStyle w:val="Heading4"/>
        <w:numPr>
          <w:ilvl w:val="1"/>
          <w:numId w:val="15"/>
        </w:numPr>
        <w:tabs>
          <w:tab w:val="left" w:pos="1080"/>
          <w:tab w:val="left" w:pos="1170"/>
          <w:tab w:val="left" w:pos="1260"/>
        </w:tabs>
        <w:spacing w:before="60" w:after="60"/>
        <w:ind w:left="0" w:firstLine="720"/>
        <w:rPr>
          <w:szCs w:val="28"/>
          <w:lang w:val="sv-SE"/>
        </w:rPr>
      </w:pPr>
      <w:r w:rsidRPr="0096488C">
        <w:t xml:space="preserve"> </w:t>
      </w:r>
      <w:r w:rsidR="000D6878" w:rsidRPr="0096488C">
        <w:t xml:space="preserve">Chương II về </w:t>
      </w:r>
      <w:r w:rsidR="00943121" w:rsidRPr="0096488C">
        <w:t>P</w:t>
      </w:r>
      <w:r w:rsidR="000D6878" w:rsidRPr="0096488C">
        <w:t>hân loại HTX</w:t>
      </w:r>
      <w:r w:rsidRPr="0096488C">
        <w:t xml:space="preserve">, </w:t>
      </w:r>
      <w:r w:rsidRPr="0096488C">
        <w:rPr>
          <w:i w:val="0"/>
          <w:iCs w:val="0"/>
        </w:rPr>
        <w:t xml:space="preserve">gồm </w:t>
      </w:r>
      <w:r w:rsidR="00207D7C" w:rsidRPr="0096488C">
        <w:rPr>
          <w:i w:val="0"/>
          <w:iCs w:val="0"/>
          <w:szCs w:val="28"/>
          <w:lang w:val="sv-SE"/>
        </w:rPr>
        <w:t>02 Điều (</w:t>
      </w:r>
      <w:r w:rsidR="000D6878" w:rsidRPr="0096488C">
        <w:rPr>
          <w:i w:val="0"/>
          <w:iCs w:val="0"/>
          <w:szCs w:val="28"/>
          <w:lang w:val="sv-SE"/>
        </w:rPr>
        <w:t>Điều 4, 5</w:t>
      </w:r>
      <w:r w:rsidR="00207D7C" w:rsidRPr="0096488C">
        <w:rPr>
          <w:i w:val="0"/>
          <w:iCs w:val="0"/>
          <w:szCs w:val="28"/>
          <w:lang w:val="sv-SE"/>
        </w:rPr>
        <w:t>)</w:t>
      </w:r>
      <w:r w:rsidR="000D6878" w:rsidRPr="0096488C">
        <w:rPr>
          <w:i w:val="0"/>
          <w:iCs w:val="0"/>
          <w:szCs w:val="28"/>
          <w:lang w:val="sv-SE"/>
        </w:rPr>
        <w:t xml:space="preserve"> quy định chi tiết Điều 16 Luật </w:t>
      </w:r>
      <w:r w:rsidR="00C36CD9" w:rsidRPr="0096488C">
        <w:rPr>
          <w:i w:val="0"/>
          <w:iCs w:val="0"/>
          <w:szCs w:val="28"/>
          <w:lang w:val="sv-SE"/>
        </w:rPr>
        <w:t>HTX</w:t>
      </w:r>
      <w:r w:rsidR="000D6878" w:rsidRPr="0096488C">
        <w:rPr>
          <w:i w:val="0"/>
          <w:iCs w:val="0"/>
          <w:szCs w:val="28"/>
          <w:lang w:val="sv-SE"/>
        </w:rPr>
        <w:t xml:space="preserve"> </w:t>
      </w:r>
      <w:r w:rsidR="00207D7C" w:rsidRPr="0096488C">
        <w:rPr>
          <w:i w:val="0"/>
          <w:iCs w:val="0"/>
          <w:szCs w:val="28"/>
          <w:lang w:val="sv-SE"/>
        </w:rPr>
        <w:t xml:space="preserve">về </w:t>
      </w:r>
      <w:r w:rsidR="00140E0E" w:rsidRPr="0096488C">
        <w:rPr>
          <w:i w:val="0"/>
          <w:iCs w:val="0"/>
          <w:szCs w:val="28"/>
          <w:lang w:val="sv-SE"/>
        </w:rPr>
        <w:t xml:space="preserve">cách xác định </w:t>
      </w:r>
      <w:r w:rsidR="00207D7C" w:rsidRPr="0096488C">
        <w:rPr>
          <w:i w:val="0"/>
          <w:iCs w:val="0"/>
          <w:szCs w:val="28"/>
          <w:lang w:val="sv-SE"/>
        </w:rPr>
        <w:t>l</w:t>
      </w:r>
      <w:r w:rsidR="00207D7C" w:rsidRPr="0096488C">
        <w:rPr>
          <w:i w:val="0"/>
          <w:iCs w:val="0"/>
        </w:rPr>
        <w:t xml:space="preserve">ĩnh vực và tiêu chí phân loại </w:t>
      </w:r>
      <w:r w:rsidR="008309B7" w:rsidRPr="0096488C">
        <w:rPr>
          <w:i w:val="0"/>
          <w:iCs w:val="0"/>
        </w:rPr>
        <w:t>HTX</w:t>
      </w:r>
      <w:r w:rsidR="00207D7C" w:rsidRPr="0096488C">
        <w:rPr>
          <w:i w:val="0"/>
          <w:iCs w:val="0"/>
        </w:rPr>
        <w:t>;</w:t>
      </w:r>
      <w:r w:rsidR="00207D7C" w:rsidRPr="0096488C">
        <w:rPr>
          <w:i w:val="0"/>
          <w:iCs w:val="0"/>
          <w:szCs w:val="28"/>
          <w:lang w:val="sv-SE"/>
        </w:rPr>
        <w:t xml:space="preserve"> về </w:t>
      </w:r>
      <w:r w:rsidR="00207D7C" w:rsidRPr="0096488C">
        <w:rPr>
          <w:i w:val="0"/>
          <w:iCs w:val="0"/>
        </w:rPr>
        <w:t xml:space="preserve">phân loại </w:t>
      </w:r>
      <w:r w:rsidR="008309B7" w:rsidRPr="0096488C">
        <w:rPr>
          <w:i w:val="0"/>
          <w:iCs w:val="0"/>
        </w:rPr>
        <w:t>HTX</w:t>
      </w:r>
      <w:r w:rsidR="00140E0E" w:rsidRPr="0096488C">
        <w:rPr>
          <w:i w:val="0"/>
          <w:iCs w:val="0"/>
        </w:rPr>
        <w:t xml:space="preserve"> theo quy mô trong từng lĩnh vực cụ thể</w:t>
      </w:r>
      <w:r w:rsidR="00207D7C" w:rsidRPr="0096488C">
        <w:t>.</w:t>
      </w:r>
    </w:p>
    <w:p w14:paraId="7645C104" w14:textId="0CCD4827" w:rsidR="00265DB3" w:rsidRPr="0096488C" w:rsidRDefault="00265DB3" w:rsidP="0096488C">
      <w:pPr>
        <w:pStyle w:val="Heading4"/>
        <w:numPr>
          <w:ilvl w:val="1"/>
          <w:numId w:val="15"/>
        </w:numPr>
        <w:tabs>
          <w:tab w:val="left" w:pos="1260"/>
        </w:tabs>
        <w:spacing w:before="60" w:after="60"/>
        <w:ind w:left="0" w:firstLine="720"/>
      </w:pPr>
      <w:r w:rsidRPr="0096488C">
        <w:t xml:space="preserve">Chương III về Chính sách của Nhà nước về </w:t>
      </w:r>
      <w:r w:rsidR="00BA246E" w:rsidRPr="0096488C">
        <w:t xml:space="preserve">hỗ trợ </w:t>
      </w:r>
      <w:r w:rsidRPr="0096488C">
        <w:t>phát triển tổ hợp tác, HTX, liên hiệp HTX</w:t>
      </w:r>
      <w:r w:rsidR="0060717C" w:rsidRPr="0096488C">
        <w:t xml:space="preserve">, </w:t>
      </w:r>
      <w:r w:rsidR="0060717C" w:rsidRPr="0096488C">
        <w:rPr>
          <w:i w:val="0"/>
          <w:iCs w:val="0"/>
        </w:rPr>
        <w:t>gồm</w:t>
      </w:r>
      <w:r w:rsidRPr="0096488C">
        <w:rPr>
          <w:i w:val="0"/>
          <w:iCs w:val="0"/>
        </w:rPr>
        <w:t xml:space="preserve"> </w:t>
      </w:r>
      <w:r w:rsidR="00741444" w:rsidRPr="0096488C">
        <w:rPr>
          <w:i w:val="0"/>
          <w:iCs w:val="0"/>
        </w:rPr>
        <w:t>1</w:t>
      </w:r>
      <w:r w:rsidR="00BA246E" w:rsidRPr="0096488C">
        <w:rPr>
          <w:i w:val="0"/>
          <w:iCs w:val="0"/>
        </w:rPr>
        <w:t>2</w:t>
      </w:r>
      <w:r w:rsidRPr="0096488C">
        <w:rPr>
          <w:i w:val="0"/>
          <w:iCs w:val="0"/>
        </w:rPr>
        <w:t xml:space="preserve"> Điều (từ Điều 6 đến Điều 1</w:t>
      </w:r>
      <w:r w:rsidR="00BA246E" w:rsidRPr="0096488C">
        <w:rPr>
          <w:i w:val="0"/>
          <w:iCs w:val="0"/>
        </w:rPr>
        <w:t>7</w:t>
      </w:r>
      <w:r w:rsidRPr="0096488C">
        <w:rPr>
          <w:i w:val="0"/>
          <w:iCs w:val="0"/>
        </w:rPr>
        <w:t xml:space="preserve">) quy định chi tiết các Điều 18, 20, 24, 25, 26, 27, 28 </w:t>
      </w:r>
      <w:r w:rsidR="00C36CD9" w:rsidRPr="0096488C">
        <w:rPr>
          <w:i w:val="0"/>
          <w:iCs w:val="0"/>
        </w:rPr>
        <w:t xml:space="preserve">Luật HTX </w:t>
      </w:r>
      <w:r w:rsidRPr="0096488C">
        <w:rPr>
          <w:i w:val="0"/>
          <w:iCs w:val="0"/>
        </w:rPr>
        <w:t>về tiêu chí xem xét lựa chọn đối tượng</w:t>
      </w:r>
      <w:r w:rsidR="00C36CD9" w:rsidRPr="0096488C">
        <w:rPr>
          <w:i w:val="0"/>
          <w:iCs w:val="0"/>
        </w:rPr>
        <w:t xml:space="preserve"> thụ</w:t>
      </w:r>
      <w:r w:rsidRPr="0096488C">
        <w:rPr>
          <w:i w:val="0"/>
          <w:iCs w:val="0"/>
        </w:rPr>
        <w:t xml:space="preserve"> hưởng chính sách, </w:t>
      </w:r>
      <w:r w:rsidR="00DB40B5" w:rsidRPr="0096488C">
        <w:rPr>
          <w:i w:val="0"/>
          <w:iCs w:val="0"/>
        </w:rPr>
        <w:t xml:space="preserve">đối tượng hỗ trợ, </w:t>
      </w:r>
      <w:r w:rsidRPr="0096488C">
        <w:rPr>
          <w:i w:val="0"/>
          <w:iCs w:val="0"/>
        </w:rPr>
        <w:t xml:space="preserve">các nội dung, </w:t>
      </w:r>
      <w:r w:rsidR="00DB40B5" w:rsidRPr="0096488C">
        <w:rPr>
          <w:i w:val="0"/>
          <w:iCs w:val="0"/>
        </w:rPr>
        <w:t>kinh phí</w:t>
      </w:r>
      <w:r w:rsidRPr="0096488C">
        <w:rPr>
          <w:i w:val="0"/>
          <w:iCs w:val="0"/>
        </w:rPr>
        <w:t xml:space="preserve"> hỗ trợ </w:t>
      </w:r>
      <w:r w:rsidR="00DB40B5" w:rsidRPr="0096488C">
        <w:rPr>
          <w:i w:val="0"/>
          <w:iCs w:val="0"/>
        </w:rPr>
        <w:t xml:space="preserve">từ </w:t>
      </w:r>
      <w:r w:rsidR="002C4FFB" w:rsidRPr="0096488C">
        <w:rPr>
          <w:i w:val="0"/>
          <w:iCs w:val="0"/>
        </w:rPr>
        <w:t>NSNN</w:t>
      </w:r>
      <w:r w:rsidR="00DB40B5" w:rsidRPr="0096488C">
        <w:rPr>
          <w:i w:val="0"/>
          <w:iCs w:val="0"/>
        </w:rPr>
        <w:t xml:space="preserve"> (sau đây viết tắt là NSNN)</w:t>
      </w:r>
      <w:r w:rsidRPr="0096488C">
        <w:rPr>
          <w:i w:val="0"/>
          <w:iCs w:val="0"/>
        </w:rPr>
        <w:t>, quy trình đề xuất hỗ trợ</w:t>
      </w:r>
      <w:r w:rsidR="00DF69EC" w:rsidRPr="0096488C">
        <w:rPr>
          <w:i w:val="0"/>
          <w:iCs w:val="0"/>
        </w:rPr>
        <w:t>, tổ chức thực hiện</w:t>
      </w:r>
      <w:r w:rsidRPr="0096488C">
        <w:rPr>
          <w:i w:val="0"/>
          <w:iCs w:val="0"/>
        </w:rPr>
        <w:t xml:space="preserve"> chính sách</w:t>
      </w:r>
      <w:r w:rsidR="00DF69EC" w:rsidRPr="0096488C">
        <w:rPr>
          <w:i w:val="0"/>
          <w:iCs w:val="0"/>
        </w:rPr>
        <w:t xml:space="preserve"> hỗ trợ</w:t>
      </w:r>
      <w:r w:rsidRPr="0096488C">
        <w:rPr>
          <w:i w:val="0"/>
          <w:iCs w:val="0"/>
        </w:rPr>
        <w:t xml:space="preserve"> của Nhà nước cho tổ hợp tác, HTX, liên hiệp HTX</w:t>
      </w:r>
      <w:r w:rsidR="00BA246E" w:rsidRPr="0096488C">
        <w:rPr>
          <w:i w:val="0"/>
          <w:iCs w:val="0"/>
        </w:rPr>
        <w:t xml:space="preserve"> và </w:t>
      </w:r>
      <w:r w:rsidR="00BA246E" w:rsidRPr="0096488C">
        <w:rPr>
          <w:i w:val="0"/>
          <w:iCs w:val="0"/>
          <w:szCs w:val="28"/>
          <w:lang w:val="de-DE"/>
        </w:rPr>
        <w:t>đối tượng có liên quan</w:t>
      </w:r>
      <w:r w:rsidRPr="0096488C">
        <w:rPr>
          <w:i w:val="0"/>
          <w:iCs w:val="0"/>
        </w:rPr>
        <w:t>.</w:t>
      </w:r>
    </w:p>
    <w:p w14:paraId="2F234362" w14:textId="5968AC3F" w:rsidR="00E8055E" w:rsidRPr="001143F7" w:rsidRDefault="00265DB3" w:rsidP="0096488C">
      <w:pPr>
        <w:pStyle w:val="Heading4"/>
        <w:numPr>
          <w:ilvl w:val="1"/>
          <w:numId w:val="15"/>
        </w:numPr>
        <w:tabs>
          <w:tab w:val="left" w:pos="1260"/>
        </w:tabs>
        <w:spacing w:before="60" w:after="60"/>
        <w:ind w:left="0" w:firstLine="720"/>
        <w:rPr>
          <w:i w:val="0"/>
          <w:iCs w:val="0"/>
        </w:rPr>
      </w:pPr>
      <w:r w:rsidRPr="0096488C">
        <w:t>Chương IV về Tài sản, tài chính của HTX, liên hiệp HTX</w:t>
      </w:r>
      <w:r w:rsidR="00A17AA9" w:rsidRPr="0096488C">
        <w:t xml:space="preserve">, </w:t>
      </w:r>
      <w:r w:rsidR="00A17AA9" w:rsidRPr="001143F7">
        <w:rPr>
          <w:rStyle w:val="NoidungChar"/>
          <w:i w:val="0"/>
          <w:iCs w:val="0"/>
        </w:rPr>
        <w:t>gồm</w:t>
      </w:r>
      <w:r w:rsidR="00DB40B5" w:rsidRPr="001143F7">
        <w:rPr>
          <w:rStyle w:val="NoidungChar"/>
          <w:i w:val="0"/>
          <w:iCs w:val="0"/>
        </w:rPr>
        <w:t xml:space="preserve"> 04 Điều (từ Điều 1</w:t>
      </w:r>
      <w:r w:rsidR="00BA246E" w:rsidRPr="001143F7">
        <w:rPr>
          <w:rStyle w:val="NoidungChar"/>
          <w:i w:val="0"/>
          <w:iCs w:val="0"/>
        </w:rPr>
        <w:t>8</w:t>
      </w:r>
      <w:r w:rsidR="00DB40B5" w:rsidRPr="001143F7">
        <w:rPr>
          <w:rStyle w:val="NoidungChar"/>
          <w:i w:val="0"/>
          <w:iCs w:val="0"/>
        </w:rPr>
        <w:t xml:space="preserve"> đến Điều 2</w:t>
      </w:r>
      <w:r w:rsidR="00BA246E" w:rsidRPr="001143F7">
        <w:rPr>
          <w:rStyle w:val="NoidungChar"/>
          <w:i w:val="0"/>
          <w:iCs w:val="0"/>
        </w:rPr>
        <w:t>1</w:t>
      </w:r>
      <w:r w:rsidR="00DB40B5" w:rsidRPr="001143F7">
        <w:rPr>
          <w:rStyle w:val="NoidungChar"/>
          <w:i w:val="0"/>
          <w:iCs w:val="0"/>
        </w:rPr>
        <w:t>) quy định chi tiết các Điều 81, 82, 83, 85, 99 và Điều 101 Luật HTX về điều kiện thành lập doanh nghiệp, góp vốn, mua cổ phần tham gia doanh nghiệp của HTX, liên hiệp HTX; điều kiện, mức cho vay, giới hạn cho vay, lãi suất, quản lý rủi ro hoạt động cho vay nội bộ; xác định giao dịch nội bộ</w:t>
      </w:r>
      <w:r w:rsidR="00A17AA9" w:rsidRPr="001143F7">
        <w:rPr>
          <w:rStyle w:val="NoidungChar"/>
          <w:i w:val="0"/>
          <w:iCs w:val="0"/>
        </w:rPr>
        <w:t>,</w:t>
      </w:r>
      <w:r w:rsidR="00DB40B5" w:rsidRPr="001143F7">
        <w:rPr>
          <w:rStyle w:val="NoidungChar"/>
          <w:i w:val="0"/>
          <w:iCs w:val="0"/>
        </w:rPr>
        <w:t xml:space="preserve"> thu nhập từ giao dịch nội bộ; hướng dẫn xử lý </w:t>
      </w:r>
      <w:r w:rsidR="00741444" w:rsidRPr="001143F7">
        <w:rPr>
          <w:rStyle w:val="NoidungChar"/>
          <w:i w:val="0"/>
          <w:iCs w:val="0"/>
        </w:rPr>
        <w:t xml:space="preserve">vốn, </w:t>
      </w:r>
      <w:r w:rsidR="00DB40B5" w:rsidRPr="001143F7">
        <w:rPr>
          <w:rStyle w:val="NoidungChar"/>
          <w:i w:val="0"/>
          <w:iCs w:val="0"/>
        </w:rPr>
        <w:t>quỹ</w:t>
      </w:r>
      <w:r w:rsidR="00741444" w:rsidRPr="001143F7">
        <w:rPr>
          <w:rStyle w:val="NoidungChar"/>
          <w:i w:val="0"/>
          <w:iCs w:val="0"/>
        </w:rPr>
        <w:t>, tài sản của HTX, liên hiệp HTX</w:t>
      </w:r>
      <w:r w:rsidR="0052573A" w:rsidRPr="001143F7">
        <w:rPr>
          <w:rStyle w:val="NoidungChar"/>
          <w:i w:val="0"/>
          <w:iCs w:val="0"/>
        </w:rPr>
        <w:t>,</w:t>
      </w:r>
      <w:r w:rsidR="00741444" w:rsidRPr="001143F7">
        <w:rPr>
          <w:rStyle w:val="NoidungChar"/>
          <w:i w:val="0"/>
          <w:iCs w:val="0"/>
        </w:rPr>
        <w:t xml:space="preserve"> trong đó </w:t>
      </w:r>
      <w:r w:rsidR="00447AD1" w:rsidRPr="001143F7">
        <w:rPr>
          <w:rStyle w:val="NoidungChar"/>
          <w:i w:val="0"/>
          <w:iCs w:val="0"/>
        </w:rPr>
        <w:t xml:space="preserve">có </w:t>
      </w:r>
      <w:r w:rsidR="00741444" w:rsidRPr="001143F7">
        <w:rPr>
          <w:rStyle w:val="NoidungChar"/>
          <w:i w:val="0"/>
          <w:iCs w:val="0"/>
        </w:rPr>
        <w:t>quỹ</w:t>
      </w:r>
      <w:r w:rsidR="00DB40B5" w:rsidRPr="001143F7">
        <w:rPr>
          <w:rStyle w:val="NoidungChar"/>
          <w:i w:val="0"/>
          <w:iCs w:val="0"/>
        </w:rPr>
        <w:t xml:space="preserve"> chung không chia, tài sản chung không chia theo nguồn hình thành khi HTX, liên hiệp HTX giải thể, phá sản.</w:t>
      </w:r>
    </w:p>
    <w:p w14:paraId="0530C9FA" w14:textId="6D317DC8" w:rsidR="001B5707" w:rsidRPr="0096488C" w:rsidRDefault="001B5707" w:rsidP="0096488C">
      <w:pPr>
        <w:pStyle w:val="Heading4"/>
        <w:numPr>
          <w:ilvl w:val="1"/>
          <w:numId w:val="15"/>
        </w:numPr>
        <w:tabs>
          <w:tab w:val="left" w:pos="1260"/>
        </w:tabs>
        <w:spacing w:before="60" w:after="60"/>
        <w:ind w:left="0" w:firstLine="720"/>
      </w:pPr>
      <w:r w:rsidRPr="0096488C">
        <w:t>Chương V về Tổ chức thực hiện</w:t>
      </w:r>
      <w:r w:rsidR="00A17AA9" w:rsidRPr="0096488C">
        <w:t>,</w:t>
      </w:r>
      <w:r w:rsidR="00A17AA9" w:rsidRPr="0096488C">
        <w:rPr>
          <w:rStyle w:val="NoidungChar"/>
          <w:i w:val="0"/>
          <w:iCs w:val="0"/>
        </w:rPr>
        <w:t xml:space="preserve"> gồm 2 điều (Điều 2</w:t>
      </w:r>
      <w:r w:rsidR="00447AD1" w:rsidRPr="0096488C">
        <w:rPr>
          <w:rStyle w:val="NoidungChar"/>
          <w:i w:val="0"/>
          <w:iCs w:val="0"/>
        </w:rPr>
        <w:t>2</w:t>
      </w:r>
      <w:r w:rsidR="00A17AA9" w:rsidRPr="0096488C">
        <w:rPr>
          <w:rStyle w:val="NoidungChar"/>
          <w:i w:val="0"/>
          <w:iCs w:val="0"/>
        </w:rPr>
        <w:t>, 2</w:t>
      </w:r>
      <w:r w:rsidR="00447AD1" w:rsidRPr="0096488C">
        <w:rPr>
          <w:rStyle w:val="NoidungChar"/>
          <w:i w:val="0"/>
          <w:iCs w:val="0"/>
        </w:rPr>
        <w:t>3</w:t>
      </w:r>
      <w:r w:rsidR="00A17AA9" w:rsidRPr="0096488C">
        <w:rPr>
          <w:rStyle w:val="NoidungChar"/>
          <w:i w:val="0"/>
          <w:iCs w:val="0"/>
        </w:rPr>
        <w:t xml:space="preserve">) quy định trách nhiệm của các Bộ, ngành, cơ quan thuộc Chính phủ và trách nhiệm của Ủy </w:t>
      </w:r>
      <w:r w:rsidR="00A17AA9" w:rsidRPr="0096488C">
        <w:rPr>
          <w:rStyle w:val="NoidungChar"/>
          <w:i w:val="0"/>
          <w:iCs w:val="0"/>
        </w:rPr>
        <w:lastRenderedPageBreak/>
        <w:t>ban nhân dân các tỉnh, thành phố trực thuộc Trung ương trong việc quản lý, hỗ trợ, phát triển kinh tế tập thể trong phạm vi ngành, lĩnh vực của mình.</w:t>
      </w:r>
      <w:r w:rsidRPr="0096488C">
        <w:rPr>
          <w:rStyle w:val="NoidungChar"/>
          <w:i w:val="0"/>
          <w:iCs w:val="0"/>
        </w:rPr>
        <w:t xml:space="preserve"> </w:t>
      </w:r>
      <w:r w:rsidR="00A17AA9" w:rsidRPr="0096488C">
        <w:t xml:space="preserve"> </w:t>
      </w:r>
    </w:p>
    <w:p w14:paraId="55583C28" w14:textId="6098FF4B" w:rsidR="00281BDC" w:rsidRPr="0096488C" w:rsidRDefault="00BF3E3C" w:rsidP="0096488C">
      <w:pPr>
        <w:pStyle w:val="Heading4"/>
        <w:numPr>
          <w:ilvl w:val="1"/>
          <w:numId w:val="15"/>
        </w:numPr>
        <w:tabs>
          <w:tab w:val="left" w:pos="1260"/>
        </w:tabs>
        <w:spacing w:before="60" w:after="60"/>
        <w:ind w:left="0" w:firstLine="720"/>
        <w:rPr>
          <w:rFonts w:eastAsia="Calibri"/>
        </w:rPr>
      </w:pPr>
      <w:r w:rsidRPr="0096488C">
        <w:t>Chương VI về Điều khoản thi hành</w:t>
      </w:r>
      <w:r w:rsidR="00A17AA9" w:rsidRPr="0096488C">
        <w:t>,</w:t>
      </w:r>
      <w:r w:rsidRPr="0096488C">
        <w:t xml:space="preserve"> </w:t>
      </w:r>
      <w:r w:rsidRPr="00A460A8">
        <w:rPr>
          <w:rStyle w:val="NoidungChar"/>
          <w:i w:val="0"/>
          <w:iCs w:val="0"/>
        </w:rPr>
        <w:t>gồm 02 điều (Điều 2</w:t>
      </w:r>
      <w:r w:rsidR="00447AD1" w:rsidRPr="00A460A8">
        <w:rPr>
          <w:rStyle w:val="NoidungChar"/>
          <w:i w:val="0"/>
          <w:iCs w:val="0"/>
        </w:rPr>
        <w:t>4</w:t>
      </w:r>
      <w:r w:rsidRPr="00A460A8">
        <w:rPr>
          <w:rStyle w:val="NoidungChar"/>
          <w:i w:val="0"/>
          <w:iCs w:val="0"/>
        </w:rPr>
        <w:t>, 2</w:t>
      </w:r>
      <w:r w:rsidR="00447AD1" w:rsidRPr="00A460A8">
        <w:rPr>
          <w:rStyle w:val="NoidungChar"/>
          <w:i w:val="0"/>
          <w:iCs w:val="0"/>
        </w:rPr>
        <w:t>5</w:t>
      </w:r>
      <w:r w:rsidRPr="00A460A8">
        <w:rPr>
          <w:rStyle w:val="NoidungChar"/>
          <w:i w:val="0"/>
          <w:iCs w:val="0"/>
        </w:rPr>
        <w:t>) quy định về hiệu lực thi hành</w:t>
      </w:r>
      <w:r w:rsidR="00A9225C" w:rsidRPr="00A460A8">
        <w:rPr>
          <w:rStyle w:val="NoidungChar"/>
          <w:i w:val="0"/>
          <w:iCs w:val="0"/>
        </w:rPr>
        <w:t xml:space="preserve"> và quy định chuyển tiếp</w:t>
      </w:r>
      <w:r w:rsidRPr="00A460A8">
        <w:rPr>
          <w:rStyle w:val="NoidungChar"/>
          <w:i w:val="0"/>
          <w:iCs w:val="0"/>
        </w:rPr>
        <w:t>; sửa đổi, bổ sung một số điều khoản của Nghị định số 77/2019/NĐ-CP; và trách nhiệm thi hành Nghị định của các cơ quan, tổ chức, cá nhân liên quan</w:t>
      </w:r>
      <w:r w:rsidR="00281BDC" w:rsidRPr="00A460A8">
        <w:rPr>
          <w:rStyle w:val="NoidungChar"/>
          <w:i w:val="0"/>
          <w:iCs w:val="0"/>
        </w:rPr>
        <w:t>.</w:t>
      </w:r>
    </w:p>
    <w:p w14:paraId="22F34900" w14:textId="1C0D2B74" w:rsidR="00EF55F6" w:rsidRPr="0096488C" w:rsidRDefault="00EF55F6" w:rsidP="0096488C">
      <w:pPr>
        <w:pStyle w:val="Heading3"/>
        <w:spacing w:before="60" w:after="60"/>
        <w:ind w:firstLine="720"/>
      </w:pPr>
      <w:r w:rsidRPr="0096488C">
        <w:t xml:space="preserve">2. </w:t>
      </w:r>
      <w:r w:rsidRPr="0096488C">
        <w:rPr>
          <w:lang w:val="en-US"/>
        </w:rPr>
        <w:t>Nội dung cơ bản của dự thảo Nghị định</w:t>
      </w:r>
    </w:p>
    <w:p w14:paraId="4BB042A5" w14:textId="6087328B" w:rsidR="00B7518E" w:rsidRPr="0096488C" w:rsidRDefault="000D6878" w:rsidP="0096488C">
      <w:pPr>
        <w:pStyle w:val="Heading4"/>
        <w:spacing w:before="60" w:after="60"/>
      </w:pPr>
      <w:r w:rsidRPr="0096488C">
        <w:rPr>
          <w:lang w:val="en-US"/>
        </w:rPr>
        <w:t>2.</w:t>
      </w:r>
      <w:r w:rsidR="00B7518E" w:rsidRPr="0096488C">
        <w:t>1. Chương I</w:t>
      </w:r>
      <w:r w:rsidR="005F5961" w:rsidRPr="0096488C">
        <w:rPr>
          <w:lang w:val="en-US"/>
        </w:rPr>
        <w:t xml:space="preserve"> về</w:t>
      </w:r>
      <w:r w:rsidR="00B7518E" w:rsidRPr="0096488C">
        <w:t xml:space="preserve"> </w:t>
      </w:r>
      <w:r w:rsidR="00447AD1" w:rsidRPr="0096488C">
        <w:t>Q</w:t>
      </w:r>
      <w:r w:rsidR="00B7518E" w:rsidRPr="0096488C">
        <w:t>uy định chung</w:t>
      </w:r>
    </w:p>
    <w:p w14:paraId="4239D1AC" w14:textId="3A0AC5E2" w:rsidR="00377DF3" w:rsidRPr="0096488C" w:rsidRDefault="00B33058" w:rsidP="0096488C">
      <w:pPr>
        <w:spacing w:before="60" w:after="60" w:line="264" w:lineRule="auto"/>
        <w:ind w:firstLine="720"/>
        <w:jc w:val="both"/>
        <w:rPr>
          <w:szCs w:val="28"/>
          <w:lang w:val="sv-SE"/>
        </w:rPr>
      </w:pPr>
      <w:r w:rsidRPr="0096488C">
        <w:t>-</w:t>
      </w:r>
      <w:r w:rsidR="00124041" w:rsidRPr="0096488C">
        <w:rPr>
          <w:szCs w:val="28"/>
          <w:lang w:val="sv-SE"/>
        </w:rPr>
        <w:t xml:space="preserve"> </w:t>
      </w:r>
      <w:r w:rsidRPr="0096488C">
        <w:rPr>
          <w:szCs w:val="28"/>
          <w:lang w:val="sv-SE"/>
        </w:rPr>
        <w:t>P</w:t>
      </w:r>
      <w:r w:rsidR="00124041" w:rsidRPr="0096488C">
        <w:rPr>
          <w:szCs w:val="28"/>
          <w:lang w:val="sv-SE"/>
        </w:rPr>
        <w:t>hạm vi điều chỉnh</w:t>
      </w:r>
      <w:r w:rsidRPr="0096488C">
        <w:rPr>
          <w:szCs w:val="28"/>
          <w:lang w:val="sv-SE"/>
        </w:rPr>
        <w:t xml:space="preserve"> của Nghị định này gồm các vấn đề được Luật </w:t>
      </w:r>
      <w:r w:rsidR="00BD5CDC" w:rsidRPr="0096488C">
        <w:rPr>
          <w:szCs w:val="28"/>
          <w:lang w:val="sv-SE"/>
        </w:rPr>
        <w:t xml:space="preserve">HTX năm 2023 </w:t>
      </w:r>
      <w:r w:rsidRPr="0096488C">
        <w:rPr>
          <w:szCs w:val="28"/>
          <w:lang w:val="sv-SE"/>
        </w:rPr>
        <w:t>giao Chính phủ quy định chi tiết</w:t>
      </w:r>
      <w:r w:rsidR="00A9225C" w:rsidRPr="0096488C">
        <w:rPr>
          <w:szCs w:val="28"/>
          <w:lang w:val="sv-SE"/>
        </w:rPr>
        <w:t xml:space="preserve"> tại các Điều 16, 18, </w:t>
      </w:r>
      <w:r w:rsidR="00A9225C" w:rsidRPr="0096488C">
        <w:t>20, 24, 25, 26, 27, 28, 81, 82, 83, 85, 99, 101 và 107.</w:t>
      </w:r>
    </w:p>
    <w:p w14:paraId="55B01B20" w14:textId="3FDCDC56" w:rsidR="00D34457" w:rsidRPr="0096488C" w:rsidRDefault="00377DF3" w:rsidP="0096488C">
      <w:pPr>
        <w:spacing w:before="60" w:after="60" w:line="264" w:lineRule="auto"/>
        <w:ind w:firstLine="720"/>
        <w:jc w:val="both"/>
        <w:rPr>
          <w:szCs w:val="28"/>
          <w:lang w:val="sv-SE"/>
        </w:rPr>
      </w:pPr>
      <w:r w:rsidRPr="0096488C">
        <w:rPr>
          <w:szCs w:val="28"/>
          <w:lang w:val="sv-SE"/>
        </w:rPr>
        <w:t xml:space="preserve">- </w:t>
      </w:r>
      <w:r w:rsidR="005B103B" w:rsidRPr="0096488C">
        <w:rPr>
          <w:szCs w:val="28"/>
          <w:lang w:val="sv-SE"/>
        </w:rPr>
        <w:t>Đ</w:t>
      </w:r>
      <w:r w:rsidR="00124041" w:rsidRPr="0096488C">
        <w:rPr>
          <w:szCs w:val="28"/>
          <w:lang w:val="sv-SE"/>
        </w:rPr>
        <w:t>ối tượng áp dụng</w:t>
      </w:r>
      <w:r w:rsidR="005B103B" w:rsidRPr="0096488C">
        <w:rPr>
          <w:szCs w:val="28"/>
          <w:lang w:val="sv-SE"/>
        </w:rPr>
        <w:t xml:space="preserve"> của Nghị định</w:t>
      </w:r>
      <w:r w:rsidR="00291C47" w:rsidRPr="0096488C">
        <w:rPr>
          <w:szCs w:val="28"/>
          <w:lang w:val="sv-SE"/>
        </w:rPr>
        <w:t>, gồm: tổ hợp tác, HTX, liên hiệp HTX; thành viên của các tổ chức này; và các cơ quan, tổ chức, cá nhân có liên quan.</w:t>
      </w:r>
    </w:p>
    <w:p w14:paraId="4F19E38E" w14:textId="190AC1CF" w:rsidR="00862AD9" w:rsidRPr="0096488C" w:rsidRDefault="00124041" w:rsidP="0096488C">
      <w:pPr>
        <w:spacing w:before="60" w:after="60" w:line="264" w:lineRule="auto"/>
        <w:ind w:firstLine="720"/>
        <w:jc w:val="both"/>
        <w:rPr>
          <w:szCs w:val="28"/>
          <w:lang w:val="sv-SE"/>
        </w:rPr>
      </w:pPr>
      <w:r w:rsidRPr="0096488C">
        <w:rPr>
          <w:szCs w:val="28"/>
          <w:lang w:val="sv-SE"/>
        </w:rPr>
        <w:t xml:space="preserve">- Điều </w:t>
      </w:r>
      <w:r w:rsidR="00377DF3" w:rsidRPr="0096488C">
        <w:rPr>
          <w:szCs w:val="28"/>
          <w:lang w:val="sv-SE"/>
        </w:rPr>
        <w:t>3</w:t>
      </w:r>
      <w:r w:rsidRPr="0096488C">
        <w:rPr>
          <w:szCs w:val="28"/>
          <w:lang w:val="sv-SE"/>
        </w:rPr>
        <w:t xml:space="preserve"> quy định về giải thích từ ngữ được sử dụng nhiều và để làm rõ về nội dung, tránh hiểu khác nhau</w:t>
      </w:r>
      <w:r w:rsidR="004E127A" w:rsidRPr="0096488C">
        <w:rPr>
          <w:szCs w:val="28"/>
          <w:lang w:val="sv-SE"/>
        </w:rPr>
        <w:t xml:space="preserve">. </w:t>
      </w:r>
    </w:p>
    <w:p w14:paraId="0898D1DA" w14:textId="6C3CB4A4" w:rsidR="00F24BBE" w:rsidRPr="0096488C" w:rsidRDefault="004E127A" w:rsidP="0096488C">
      <w:pPr>
        <w:spacing w:before="60" w:after="60" w:line="264" w:lineRule="auto"/>
        <w:ind w:firstLine="720"/>
        <w:jc w:val="both"/>
        <w:rPr>
          <w:szCs w:val="28"/>
          <w:lang w:val="sv-SE"/>
        </w:rPr>
      </w:pPr>
      <w:r w:rsidRPr="0096488C">
        <w:rPr>
          <w:szCs w:val="28"/>
          <w:lang w:val="sv-SE"/>
        </w:rPr>
        <w:t xml:space="preserve">Đối với thuật ngữ về </w:t>
      </w:r>
      <w:r w:rsidR="00BA548E" w:rsidRPr="0096488C">
        <w:rPr>
          <w:szCs w:val="28"/>
          <w:lang w:val="sv-SE"/>
        </w:rPr>
        <w:t>”</w:t>
      </w:r>
      <w:r w:rsidRPr="0096488C">
        <w:rPr>
          <w:szCs w:val="28"/>
          <w:lang w:val="sv-SE"/>
        </w:rPr>
        <w:t>kết cấu hạ tầng</w:t>
      </w:r>
      <w:r w:rsidR="00BA548E" w:rsidRPr="0096488C">
        <w:rPr>
          <w:szCs w:val="28"/>
          <w:lang w:val="sv-SE"/>
        </w:rPr>
        <w:t>”</w:t>
      </w:r>
      <w:r w:rsidRPr="0096488C">
        <w:rPr>
          <w:szCs w:val="28"/>
          <w:lang w:val="sv-SE"/>
        </w:rPr>
        <w:t xml:space="preserve">, hiện nay </w:t>
      </w:r>
      <w:r w:rsidR="00BA2295" w:rsidRPr="0096488C">
        <w:rPr>
          <w:szCs w:val="28"/>
          <w:lang w:val="sv-SE"/>
        </w:rPr>
        <w:t>Luật Quản lý sử dụng tài sản công có quy định về ”tài sản kết cấu hạ tầng” phục vụ lợi ích quốc gia, lợi ích công cộng tại Điều 4</w:t>
      </w:r>
      <w:r w:rsidR="00D56730" w:rsidRPr="0096488C">
        <w:rPr>
          <w:szCs w:val="28"/>
          <w:lang w:val="sv-SE"/>
        </w:rPr>
        <w:t>, theo đó bao gồm các công trình kết cấu hạ tầng kỹ thuật, hạ tầng xã hội và vùng đất, vùng nước, vùng biển trong tất cả các ngành, lĩnh vực</w:t>
      </w:r>
      <w:r w:rsidR="005A287A" w:rsidRPr="0096488C">
        <w:rPr>
          <w:szCs w:val="28"/>
          <w:lang w:val="sv-SE"/>
        </w:rPr>
        <w:t>, đồng thời Quyết định số 26/2020/QĐ-TTg ngày 14</w:t>
      </w:r>
      <w:r w:rsidR="00A460A8">
        <w:rPr>
          <w:szCs w:val="28"/>
          <w:lang w:val="sv-SE"/>
        </w:rPr>
        <w:t>/</w:t>
      </w:r>
      <w:r w:rsidR="005A287A" w:rsidRPr="0096488C">
        <w:rPr>
          <w:szCs w:val="28"/>
          <w:lang w:val="sv-SE"/>
        </w:rPr>
        <w:t>9</w:t>
      </w:r>
      <w:r w:rsidR="00A460A8">
        <w:rPr>
          <w:szCs w:val="28"/>
          <w:lang w:val="sv-SE"/>
        </w:rPr>
        <w:t>/</w:t>
      </w:r>
      <w:r w:rsidR="005A287A" w:rsidRPr="0096488C">
        <w:rPr>
          <w:szCs w:val="28"/>
          <w:lang w:val="sv-SE"/>
        </w:rPr>
        <w:t xml:space="preserve">2020 </w:t>
      </w:r>
      <w:r w:rsidR="00C36CD9" w:rsidRPr="0096488C">
        <w:rPr>
          <w:szCs w:val="28"/>
          <w:lang w:val="sv-SE"/>
        </w:rPr>
        <w:t xml:space="preserve">của Thủ tướng Chính phủ </w:t>
      </w:r>
      <w:r w:rsidR="005A287A" w:rsidRPr="0096488C">
        <w:rPr>
          <w:szCs w:val="28"/>
          <w:lang w:val="sv-SE"/>
        </w:rPr>
        <w:t>quy định c</w:t>
      </w:r>
      <w:r w:rsidR="001B58AC" w:rsidRPr="0096488C">
        <w:rPr>
          <w:szCs w:val="28"/>
          <w:lang w:val="sv-SE"/>
        </w:rPr>
        <w:t>hi</w:t>
      </w:r>
      <w:r w:rsidR="005A287A" w:rsidRPr="0096488C">
        <w:rPr>
          <w:szCs w:val="28"/>
          <w:lang w:val="sv-SE"/>
        </w:rPr>
        <w:t xml:space="preserve"> tiết</w:t>
      </w:r>
      <w:r w:rsidR="001B58AC" w:rsidRPr="0096488C">
        <w:rPr>
          <w:szCs w:val="28"/>
          <w:lang w:val="sv-SE"/>
        </w:rPr>
        <w:t xml:space="preserve"> thi hành một số điều của Nghị quyết số 973/2020/UBTVQH14 ngày 08</w:t>
      </w:r>
      <w:r w:rsidR="00A460A8">
        <w:rPr>
          <w:szCs w:val="28"/>
          <w:lang w:val="sv-SE"/>
        </w:rPr>
        <w:t>/</w:t>
      </w:r>
      <w:r w:rsidR="001B58AC" w:rsidRPr="0096488C">
        <w:rPr>
          <w:szCs w:val="28"/>
          <w:lang w:val="sv-SE"/>
        </w:rPr>
        <w:t>7</w:t>
      </w:r>
      <w:r w:rsidR="00A460A8">
        <w:rPr>
          <w:szCs w:val="28"/>
          <w:lang w:val="sv-SE"/>
        </w:rPr>
        <w:t>/</w:t>
      </w:r>
      <w:r w:rsidR="001B58AC" w:rsidRPr="0096488C">
        <w:rPr>
          <w:szCs w:val="28"/>
          <w:lang w:val="sv-SE"/>
        </w:rPr>
        <w:t xml:space="preserve">2020 của Ủy ban Thường vụ Quốc hội quy định về các nguyên tắc, tiêu chí và định mức phân bổ vốn đầu tư công nguồn </w:t>
      </w:r>
      <w:r w:rsidR="001828BD" w:rsidRPr="0096488C">
        <w:rPr>
          <w:szCs w:val="28"/>
          <w:lang w:val="sv-SE"/>
        </w:rPr>
        <w:t>ngân sách nhà nước</w:t>
      </w:r>
      <w:r w:rsidR="001B58AC" w:rsidRPr="0096488C">
        <w:rPr>
          <w:szCs w:val="28"/>
          <w:lang w:val="sv-SE"/>
        </w:rPr>
        <w:t xml:space="preserve"> giai đoạn 2021-2025</w:t>
      </w:r>
      <w:r w:rsidR="00D56730" w:rsidRPr="0096488C">
        <w:rPr>
          <w:rStyle w:val="FootnoteReference"/>
          <w:szCs w:val="28"/>
          <w:lang w:val="sv-SE"/>
        </w:rPr>
        <w:footnoteReference w:id="15"/>
      </w:r>
      <w:r w:rsidR="001B58AC" w:rsidRPr="0096488C">
        <w:rPr>
          <w:szCs w:val="28"/>
          <w:lang w:val="sv-SE"/>
        </w:rPr>
        <w:t xml:space="preserve"> cũng xác định các ngành, lĩnh vực sử dụng vốn đầu tư công nguồn</w:t>
      </w:r>
      <w:r w:rsidR="001828BD" w:rsidRPr="0096488C">
        <w:rPr>
          <w:szCs w:val="28"/>
          <w:lang w:val="sv-SE"/>
        </w:rPr>
        <w:t xml:space="preserve"> </w:t>
      </w:r>
      <w:r w:rsidR="001828BD" w:rsidRPr="0096488C">
        <w:t>NSNN</w:t>
      </w:r>
      <w:r w:rsidR="001828BD" w:rsidRPr="0096488C">
        <w:rPr>
          <w:szCs w:val="28"/>
          <w:lang w:val="sv-SE"/>
        </w:rPr>
        <w:t>.</w:t>
      </w:r>
      <w:r w:rsidR="00E435F3" w:rsidRPr="0096488C">
        <w:rPr>
          <w:szCs w:val="28"/>
          <w:lang w:val="sv-SE"/>
        </w:rPr>
        <w:t xml:space="preserve"> Trên cơ sở </w:t>
      </w:r>
      <w:r w:rsidR="001B58AC" w:rsidRPr="0096488C">
        <w:rPr>
          <w:szCs w:val="28"/>
          <w:lang w:val="sv-SE"/>
        </w:rPr>
        <w:t xml:space="preserve">các </w:t>
      </w:r>
      <w:r w:rsidR="00E435F3" w:rsidRPr="0096488C">
        <w:rPr>
          <w:szCs w:val="28"/>
          <w:lang w:val="sv-SE"/>
        </w:rPr>
        <w:t>định nghĩa này, d</w:t>
      </w:r>
      <w:r w:rsidRPr="0096488C">
        <w:rPr>
          <w:szCs w:val="28"/>
          <w:lang w:val="sv-SE"/>
        </w:rPr>
        <w:t>ự thảo Nghị định quy định về</w:t>
      </w:r>
      <w:r w:rsidR="00377DF3" w:rsidRPr="0096488C">
        <w:rPr>
          <w:szCs w:val="28"/>
          <w:lang w:val="sv-SE"/>
        </w:rPr>
        <w:t xml:space="preserve"> kết cấu hạ tầng</w:t>
      </w:r>
      <w:r w:rsidR="001B58AC" w:rsidRPr="0096488C">
        <w:rPr>
          <w:szCs w:val="28"/>
          <w:lang w:val="sv-SE"/>
        </w:rPr>
        <w:t xml:space="preserve"> trong các ngành, lĩnh vực </w:t>
      </w:r>
      <w:r w:rsidR="00E435F3" w:rsidRPr="0096488C">
        <w:rPr>
          <w:szCs w:val="28"/>
          <w:lang w:val="sv-SE"/>
        </w:rPr>
        <w:t>phù hợp với trình độ, năng lực của khu vực kinh tế tập thể hiện nay</w:t>
      </w:r>
      <w:r w:rsidR="00F477E5" w:rsidRPr="0096488C">
        <w:rPr>
          <w:szCs w:val="28"/>
          <w:lang w:val="sv-SE"/>
        </w:rPr>
        <w:t xml:space="preserve"> và quy định của pháp luật có liên quan</w:t>
      </w:r>
      <w:r w:rsidR="00291C47" w:rsidRPr="0096488C">
        <w:rPr>
          <w:szCs w:val="28"/>
          <w:lang w:val="sv-SE"/>
        </w:rPr>
        <w:t xml:space="preserve">. </w:t>
      </w:r>
      <w:r w:rsidR="00F24BBE" w:rsidRPr="0096488C">
        <w:rPr>
          <w:szCs w:val="28"/>
          <w:lang w:val="sv-SE"/>
        </w:rPr>
        <w:t xml:space="preserve"> </w:t>
      </w:r>
    </w:p>
    <w:p w14:paraId="382EB84E" w14:textId="6C3C65B9" w:rsidR="001D3CB3" w:rsidRPr="0096488C" w:rsidRDefault="001D3CB3" w:rsidP="0096488C">
      <w:pPr>
        <w:spacing w:before="60" w:after="60" w:line="264" w:lineRule="auto"/>
        <w:ind w:firstLine="720"/>
        <w:jc w:val="both"/>
        <w:rPr>
          <w:szCs w:val="28"/>
          <w:lang w:val="sv-SE"/>
        </w:rPr>
      </w:pPr>
      <w:r w:rsidRPr="0096488C">
        <w:rPr>
          <w:szCs w:val="28"/>
          <w:lang w:val="sv-SE"/>
        </w:rPr>
        <w:t xml:space="preserve">Đối với thuật ngữ về trang thiết bị, </w:t>
      </w:r>
      <w:r w:rsidR="008717E6" w:rsidRPr="0096488C">
        <w:rPr>
          <w:szCs w:val="28"/>
          <w:lang w:val="sv-SE"/>
        </w:rPr>
        <w:t xml:space="preserve">hiện nay chưa có định nghĩa chung về trang thiết bị cho tất cả các ngành, lĩnh vực, </w:t>
      </w:r>
      <w:r w:rsidRPr="0096488C">
        <w:rPr>
          <w:szCs w:val="28"/>
          <w:lang w:val="sv-SE"/>
        </w:rPr>
        <w:t>dự thảo Nghị định sử dụng định nghĩa về máy móc, thiết bị và dây chuyền công nghệ được quy định tại Q</w:t>
      </w:r>
      <w:r w:rsidR="00790B40" w:rsidRPr="0096488C">
        <w:rPr>
          <w:szCs w:val="28"/>
          <w:lang w:val="sv-SE"/>
        </w:rPr>
        <w:t>uyết định số</w:t>
      </w:r>
      <w:r w:rsidRPr="0096488C">
        <w:rPr>
          <w:szCs w:val="28"/>
          <w:lang w:val="sv-SE"/>
        </w:rPr>
        <w:t xml:space="preserve"> 18/2019/QĐ-TTg ngày 19</w:t>
      </w:r>
      <w:r w:rsidR="00A460A8">
        <w:rPr>
          <w:szCs w:val="28"/>
          <w:lang w:val="sv-SE"/>
        </w:rPr>
        <w:t>/</w:t>
      </w:r>
      <w:r w:rsidRPr="0096488C">
        <w:rPr>
          <w:szCs w:val="28"/>
          <w:lang w:val="sv-SE"/>
        </w:rPr>
        <w:t>4</w:t>
      </w:r>
      <w:r w:rsidR="00A460A8">
        <w:rPr>
          <w:szCs w:val="28"/>
          <w:lang w:val="sv-SE"/>
        </w:rPr>
        <w:t>/</w:t>
      </w:r>
      <w:r w:rsidRPr="0096488C">
        <w:rPr>
          <w:szCs w:val="28"/>
          <w:lang w:val="sv-SE"/>
        </w:rPr>
        <w:t xml:space="preserve">2019 về nhập khẩu máy móc, thiết bị, dây chuyền công nghệ đã qua sử dụng để làm rõ nội hàm của thuật ngữ này. </w:t>
      </w:r>
    </w:p>
    <w:p w14:paraId="32B2A7F0" w14:textId="4E26C1AB" w:rsidR="00377DF3" w:rsidRPr="0096488C" w:rsidRDefault="007E215F" w:rsidP="0096488C">
      <w:pPr>
        <w:pStyle w:val="Heading4"/>
        <w:spacing w:before="60" w:after="60"/>
        <w:rPr>
          <w:lang w:val="en-US"/>
        </w:rPr>
      </w:pPr>
      <w:r w:rsidRPr="0096488C">
        <w:rPr>
          <w:lang w:val="en-US"/>
        </w:rPr>
        <w:lastRenderedPageBreak/>
        <w:t>2.2.</w:t>
      </w:r>
      <w:r w:rsidR="00AF3533" w:rsidRPr="0096488C">
        <w:rPr>
          <w:lang w:val="en-US"/>
        </w:rPr>
        <w:t xml:space="preserve"> Chương II</w:t>
      </w:r>
      <w:r w:rsidR="005F5961" w:rsidRPr="0096488C">
        <w:rPr>
          <w:lang w:val="en-US"/>
        </w:rPr>
        <w:t xml:space="preserve"> </w:t>
      </w:r>
      <w:r w:rsidR="00377DF3" w:rsidRPr="0096488C">
        <w:rPr>
          <w:lang w:val="en-US"/>
        </w:rPr>
        <w:t xml:space="preserve">về </w:t>
      </w:r>
      <w:r w:rsidR="00943121" w:rsidRPr="0096488C">
        <w:rPr>
          <w:lang w:val="en-US"/>
        </w:rPr>
        <w:t>P</w:t>
      </w:r>
      <w:r w:rsidR="00377DF3" w:rsidRPr="0096488C">
        <w:rPr>
          <w:lang w:val="en-US"/>
        </w:rPr>
        <w:t>hân loại HTX</w:t>
      </w:r>
    </w:p>
    <w:p w14:paraId="4F680946" w14:textId="249146FF" w:rsidR="00377DF3" w:rsidRPr="0096488C" w:rsidRDefault="00377DF3" w:rsidP="0096488C">
      <w:pPr>
        <w:spacing w:before="60" w:after="60" w:line="264" w:lineRule="auto"/>
        <w:ind w:firstLine="567"/>
        <w:jc w:val="both"/>
        <w:rPr>
          <w:szCs w:val="28"/>
          <w:lang w:val="sv-SE"/>
        </w:rPr>
      </w:pPr>
      <w:r w:rsidRPr="0096488C">
        <w:rPr>
          <w:szCs w:val="28"/>
          <w:lang w:val="sv-SE"/>
        </w:rPr>
        <w:t xml:space="preserve">- Điều 4, 5 quy định chi tiết Điều 16 Luật Hợp tác xã về phân loại quy mô HTX: </w:t>
      </w:r>
    </w:p>
    <w:p w14:paraId="33973AD2" w14:textId="5A260604" w:rsidR="00B70FA9" w:rsidRPr="0096488C" w:rsidRDefault="003B4CCC" w:rsidP="0096488C">
      <w:pPr>
        <w:spacing w:before="60" w:after="60" w:line="264" w:lineRule="auto"/>
        <w:ind w:firstLine="720"/>
        <w:jc w:val="both"/>
        <w:rPr>
          <w:spacing w:val="-2"/>
          <w:lang w:val="pt-BR"/>
        </w:rPr>
      </w:pPr>
      <w:r w:rsidRPr="0096488C">
        <w:rPr>
          <w:kern w:val="28"/>
          <w:szCs w:val="28"/>
          <w:lang w:val="eu-ES"/>
        </w:rPr>
        <w:t xml:space="preserve">- </w:t>
      </w:r>
      <w:r w:rsidR="00B70FA9" w:rsidRPr="0096488C">
        <w:rPr>
          <w:kern w:val="28"/>
          <w:szCs w:val="28"/>
          <w:lang w:val="eu-ES"/>
        </w:rPr>
        <w:t xml:space="preserve">Việc phân loại HTX được </w:t>
      </w:r>
      <w:r w:rsidR="00A9225C" w:rsidRPr="0096488C">
        <w:rPr>
          <w:kern w:val="28"/>
          <w:szCs w:val="28"/>
          <w:lang w:val="eu-ES"/>
        </w:rPr>
        <w:t>xây dựng</w:t>
      </w:r>
      <w:r w:rsidR="00B70FA9" w:rsidRPr="0096488C">
        <w:rPr>
          <w:kern w:val="28"/>
          <w:szCs w:val="28"/>
          <w:lang w:val="eu-ES"/>
        </w:rPr>
        <w:t xml:space="preserve"> </w:t>
      </w:r>
      <w:r w:rsidR="00B70FA9" w:rsidRPr="0096488C">
        <w:rPr>
          <w:spacing w:val="-2"/>
          <w:lang w:val="pt-BR"/>
        </w:rPr>
        <w:t xml:space="preserve">trên cơ sở phù hợp với </w:t>
      </w:r>
      <w:r w:rsidR="00B70FA9" w:rsidRPr="0096488C">
        <w:rPr>
          <w:lang w:val="pt-BR"/>
        </w:rPr>
        <w:t xml:space="preserve">thực tế phát triển của khu vực HTX hiện nay dựa trên kết quả điều tra các HTX của Tổng cục Thống kê, số liệu từ hệ thống đăng ký kinh doanh của các HTX, </w:t>
      </w:r>
      <w:r w:rsidR="00ED159B" w:rsidRPr="0096488C">
        <w:rPr>
          <w:lang w:val="pt-BR"/>
        </w:rPr>
        <w:t xml:space="preserve">thông tin báo cáo về tình hình phát triển kinh tế tập thể, </w:t>
      </w:r>
      <w:r w:rsidR="00B70FA9" w:rsidRPr="0096488C">
        <w:rPr>
          <w:lang w:val="pt-BR"/>
        </w:rPr>
        <w:t xml:space="preserve">kế thừa các quy định còn phù hợp trong phân loại HTX tại các </w:t>
      </w:r>
      <w:r w:rsidR="00ED159B" w:rsidRPr="0096488C">
        <w:rPr>
          <w:lang w:val="pt-BR"/>
        </w:rPr>
        <w:t>văn bản pháp luật</w:t>
      </w:r>
      <w:r w:rsidR="00B70FA9" w:rsidRPr="0096488C">
        <w:rPr>
          <w:lang w:val="pt-BR"/>
        </w:rPr>
        <w:t xml:space="preserve"> hiện hành (Thông tư số</w:t>
      </w:r>
      <w:r w:rsidR="00B70FA9" w:rsidRPr="0096488C">
        <w:rPr>
          <w:spacing w:val="-2"/>
          <w:lang w:val="pt-BR"/>
        </w:rPr>
        <w:t xml:space="preserve"> 01/2020/TT-BKHĐT,</w:t>
      </w:r>
      <w:r w:rsidR="00B70FA9" w:rsidRPr="0096488C">
        <w:rPr>
          <w:lang w:val="pt-BR"/>
        </w:rPr>
        <w:t xml:space="preserve"> Thông tư số 09/2017/TT-BNNPTNT</w:t>
      </w:r>
      <w:r w:rsidR="00B70FA9" w:rsidRPr="0096488C">
        <w:rPr>
          <w:spacing w:val="-2"/>
          <w:lang w:val="pt-BR"/>
        </w:rPr>
        <w:t>)</w:t>
      </w:r>
      <w:r w:rsidR="00D542A2" w:rsidRPr="0096488C">
        <w:rPr>
          <w:spacing w:val="-2"/>
          <w:lang w:val="pt-BR"/>
        </w:rPr>
        <w:t>, tham khảo tỷ lệ các doanh nghiệp theo quy mô hiện nay</w:t>
      </w:r>
      <w:r w:rsidR="00D542A2" w:rsidRPr="0096488C">
        <w:rPr>
          <w:rStyle w:val="FootnoteReference"/>
          <w:spacing w:val="-2"/>
          <w:lang w:val="pt-BR"/>
        </w:rPr>
        <w:footnoteReference w:id="16"/>
      </w:r>
      <w:r w:rsidR="00B70FA9" w:rsidRPr="0096488C">
        <w:rPr>
          <w:spacing w:val="-2"/>
          <w:lang w:val="pt-BR"/>
        </w:rPr>
        <w:t>. D</w:t>
      </w:r>
      <w:r w:rsidR="00B70FA9" w:rsidRPr="0096488C">
        <w:rPr>
          <w:kern w:val="28"/>
          <w:szCs w:val="28"/>
          <w:lang w:val="eu-ES"/>
        </w:rPr>
        <w:t xml:space="preserve">o phân loại HTX theo quy mô gắn với </w:t>
      </w:r>
      <w:r w:rsidR="00ED159B" w:rsidRPr="0096488C">
        <w:rPr>
          <w:kern w:val="28"/>
          <w:szCs w:val="28"/>
          <w:lang w:val="eu-ES"/>
        </w:rPr>
        <w:t xml:space="preserve">việc xác định </w:t>
      </w:r>
      <w:r w:rsidR="00B70FA9" w:rsidRPr="0096488C">
        <w:rPr>
          <w:kern w:val="28"/>
          <w:szCs w:val="28"/>
          <w:lang w:val="eu-ES"/>
        </w:rPr>
        <w:t xml:space="preserve">tổ chức </w:t>
      </w:r>
      <w:r w:rsidR="00ED159B" w:rsidRPr="0096488C">
        <w:rPr>
          <w:kern w:val="28"/>
          <w:szCs w:val="28"/>
          <w:lang w:val="eu-ES"/>
        </w:rPr>
        <w:t xml:space="preserve">bộ máy </w:t>
      </w:r>
      <w:r w:rsidR="00B70FA9" w:rsidRPr="0096488C">
        <w:rPr>
          <w:kern w:val="28"/>
          <w:szCs w:val="28"/>
          <w:lang w:val="eu-ES"/>
        </w:rPr>
        <w:t>quản trị, thực hiện</w:t>
      </w:r>
      <w:r w:rsidR="00ED159B" w:rsidRPr="0096488C">
        <w:rPr>
          <w:kern w:val="28"/>
          <w:szCs w:val="28"/>
          <w:lang w:val="eu-ES"/>
        </w:rPr>
        <w:t xml:space="preserve"> quy định về</w:t>
      </w:r>
      <w:r w:rsidR="00B70FA9" w:rsidRPr="0096488C">
        <w:rPr>
          <w:kern w:val="28"/>
          <w:szCs w:val="28"/>
          <w:lang w:val="eu-ES"/>
        </w:rPr>
        <w:t xml:space="preserve"> kiểm toán đối với HTX</w:t>
      </w:r>
      <w:r w:rsidR="00ED159B" w:rsidRPr="0096488C">
        <w:rPr>
          <w:kern w:val="28"/>
          <w:szCs w:val="28"/>
          <w:lang w:val="eu-ES"/>
        </w:rPr>
        <w:t>,</w:t>
      </w:r>
      <w:r w:rsidR="00B70FA9" w:rsidRPr="0096488C">
        <w:rPr>
          <w:kern w:val="28"/>
          <w:szCs w:val="28"/>
          <w:lang w:val="eu-ES"/>
        </w:rPr>
        <w:t xml:space="preserve"> nên việc phân loại cần</w:t>
      </w:r>
      <w:r w:rsidR="00B70FA9" w:rsidRPr="0096488C">
        <w:rPr>
          <w:spacing w:val="-2"/>
          <w:lang w:val="pt-BR"/>
        </w:rPr>
        <w:t xml:space="preserve"> bảo đảm không gây khó khăn cho HTX, nhưng vẫn </w:t>
      </w:r>
      <w:r w:rsidR="00105D5C" w:rsidRPr="0096488C">
        <w:rPr>
          <w:spacing w:val="-2"/>
          <w:lang w:val="pt-BR"/>
        </w:rPr>
        <w:t>đáp ứng</w:t>
      </w:r>
      <w:r w:rsidR="00B70FA9" w:rsidRPr="0096488C">
        <w:rPr>
          <w:spacing w:val="-2"/>
          <w:lang w:val="pt-BR"/>
        </w:rPr>
        <w:t xml:space="preserve"> được các mục tiêu quản lý và thực hiện chính sách của Nhà nước.</w:t>
      </w:r>
      <w:r w:rsidR="007038B8" w:rsidRPr="0096488C">
        <w:rPr>
          <w:spacing w:val="-2"/>
          <w:lang w:val="pt-BR"/>
        </w:rPr>
        <w:t xml:space="preserve"> Theo đó, dự thảo Nghị định quy định:</w:t>
      </w:r>
    </w:p>
    <w:p w14:paraId="6538B239" w14:textId="2587F2FD" w:rsidR="00377DF3" w:rsidRPr="0096488C" w:rsidRDefault="00377DF3" w:rsidP="0096488C">
      <w:pPr>
        <w:spacing w:before="60" w:after="60" w:line="264" w:lineRule="auto"/>
        <w:ind w:firstLine="720"/>
        <w:jc w:val="both"/>
        <w:rPr>
          <w:szCs w:val="28"/>
          <w:lang w:val="sv-SE"/>
        </w:rPr>
      </w:pPr>
      <w:r w:rsidRPr="0096488C">
        <w:rPr>
          <w:szCs w:val="28"/>
          <w:lang w:val="sv-SE"/>
        </w:rPr>
        <w:t xml:space="preserve">+ </w:t>
      </w:r>
      <w:r w:rsidR="00105D5C" w:rsidRPr="0096488C">
        <w:rPr>
          <w:szCs w:val="28"/>
          <w:lang w:val="sv-SE"/>
        </w:rPr>
        <w:t>Để thuận lợi và tạo sự chủ động cho các HTX trong việc xác định lĩnh vực hoạt động chính của mình, dự thảo Nghị định quy định</w:t>
      </w:r>
      <w:r w:rsidR="00B01E85" w:rsidRPr="0096488C">
        <w:rPr>
          <w:szCs w:val="28"/>
          <w:lang w:val="sv-SE"/>
        </w:rPr>
        <w:t xml:space="preserve"> tại Điều 4:</w:t>
      </w:r>
      <w:r w:rsidRPr="0096488C">
        <w:rPr>
          <w:szCs w:val="28"/>
          <w:lang w:val="sv-SE"/>
        </w:rPr>
        <w:t xml:space="preserve"> căn cứ phân loại lĩnh vực </w:t>
      </w:r>
      <w:r w:rsidR="00B01E85" w:rsidRPr="0096488C">
        <w:rPr>
          <w:szCs w:val="28"/>
          <w:lang w:val="sv-SE"/>
        </w:rPr>
        <w:t>hoạt động của HTX</w:t>
      </w:r>
      <w:r w:rsidR="00105D5C" w:rsidRPr="0096488C">
        <w:rPr>
          <w:szCs w:val="28"/>
          <w:lang w:val="sv-SE"/>
        </w:rPr>
        <w:t xml:space="preserve"> được xác định </w:t>
      </w:r>
      <w:r w:rsidR="00105D5C" w:rsidRPr="0096488C">
        <w:rPr>
          <w:spacing w:val="-2"/>
          <w:szCs w:val="28"/>
          <w:lang w:val="nl-NL"/>
        </w:rPr>
        <w:t xml:space="preserve">theo ngành nghề kinh doanh chính mà </w:t>
      </w:r>
      <w:r w:rsidR="00B01E85" w:rsidRPr="0096488C">
        <w:rPr>
          <w:spacing w:val="-2"/>
          <w:szCs w:val="28"/>
          <w:lang w:val="nl-NL"/>
        </w:rPr>
        <w:t>HTX</w:t>
      </w:r>
      <w:r w:rsidR="00105D5C" w:rsidRPr="0096488C">
        <w:rPr>
          <w:spacing w:val="-2"/>
          <w:szCs w:val="28"/>
          <w:lang w:val="nl-NL"/>
        </w:rPr>
        <w:t xml:space="preserve"> đăng ký với cơ quan đăng ký kinh doanh</w:t>
      </w:r>
      <w:r w:rsidR="00B01E85" w:rsidRPr="0096488C">
        <w:rPr>
          <w:spacing w:val="-2"/>
          <w:szCs w:val="28"/>
          <w:lang w:val="nl-NL"/>
        </w:rPr>
        <w:t xml:space="preserve"> và được nhóm thành 4 </w:t>
      </w:r>
      <w:r w:rsidR="00B01E85" w:rsidRPr="0096488C">
        <w:rPr>
          <w:szCs w:val="28"/>
          <w:lang w:val="sv-SE"/>
        </w:rPr>
        <w:t>lĩnh vực</w:t>
      </w:r>
      <w:r w:rsidR="00D20C1B" w:rsidRPr="0096488C">
        <w:rPr>
          <w:szCs w:val="28"/>
          <w:lang w:val="sv-SE"/>
        </w:rPr>
        <w:t xml:space="preserve"> </w:t>
      </w:r>
      <w:r w:rsidR="00D20C1B" w:rsidRPr="0096488C">
        <w:rPr>
          <w:szCs w:val="28"/>
          <w:lang w:val="nl-NL"/>
        </w:rPr>
        <w:t xml:space="preserve">căn cứ vào các ngành kinh tế </w:t>
      </w:r>
      <w:r w:rsidR="00D20C1B" w:rsidRPr="0096488C">
        <w:rPr>
          <w:szCs w:val="28"/>
        </w:rPr>
        <w:t>được xác định</w:t>
      </w:r>
      <w:r w:rsidR="00D20C1B" w:rsidRPr="0096488C">
        <w:rPr>
          <w:szCs w:val="28"/>
          <w:lang w:val="nl-NL"/>
        </w:rPr>
        <w:t xml:space="preserve"> </w:t>
      </w:r>
      <w:r w:rsidR="00D20C1B" w:rsidRPr="0096488C">
        <w:rPr>
          <w:szCs w:val="28"/>
        </w:rPr>
        <w:t>theo quy định của pháp luật về thống kê</w:t>
      </w:r>
      <w:r w:rsidR="00B01E85" w:rsidRPr="0096488C">
        <w:rPr>
          <w:szCs w:val="28"/>
          <w:lang w:val="sv-SE"/>
        </w:rPr>
        <w:t>, gồm: (1) lĩnh vực nông nghiệp</w:t>
      </w:r>
      <w:r w:rsidR="00622D71" w:rsidRPr="0096488C">
        <w:rPr>
          <w:szCs w:val="28"/>
          <w:lang w:val="sv-SE"/>
        </w:rPr>
        <w:t>;</w:t>
      </w:r>
      <w:r w:rsidR="00B01E85" w:rsidRPr="0096488C">
        <w:rPr>
          <w:szCs w:val="28"/>
          <w:lang w:val="sv-SE"/>
        </w:rPr>
        <w:t xml:space="preserve"> (2) công nghiệp – xây dựng</w:t>
      </w:r>
      <w:r w:rsidR="00622D71" w:rsidRPr="0096488C">
        <w:rPr>
          <w:szCs w:val="28"/>
          <w:lang w:val="sv-SE"/>
        </w:rPr>
        <w:t>;</w:t>
      </w:r>
      <w:r w:rsidR="00B01E85" w:rsidRPr="0096488C">
        <w:rPr>
          <w:szCs w:val="28"/>
          <w:lang w:val="sv-SE"/>
        </w:rPr>
        <w:t xml:space="preserve"> (3) tài chính-ngân hàng-bảo hiểm; (4) thương mại – dịch vụ và lĩnh vực khác</w:t>
      </w:r>
      <w:r w:rsidR="00B01E85" w:rsidRPr="0096488C">
        <w:rPr>
          <w:spacing w:val="-2"/>
          <w:szCs w:val="28"/>
          <w:lang w:val="nl-NL"/>
        </w:rPr>
        <w:t>. Tiêu chí s</w:t>
      </w:r>
      <w:r w:rsidRPr="0096488C">
        <w:rPr>
          <w:szCs w:val="28"/>
          <w:lang w:val="sv-SE"/>
        </w:rPr>
        <w:t xml:space="preserve">ố lượng thành viên chính thức, tổng nguồn vốn, doanh thu năm của </w:t>
      </w:r>
      <w:r w:rsidR="008309B7" w:rsidRPr="0096488C">
        <w:rPr>
          <w:szCs w:val="28"/>
          <w:lang w:val="sv-SE"/>
        </w:rPr>
        <w:t>HTX</w:t>
      </w:r>
      <w:r w:rsidRPr="0096488C">
        <w:rPr>
          <w:szCs w:val="28"/>
          <w:lang w:val="sv-SE"/>
        </w:rPr>
        <w:t xml:space="preserve"> </w:t>
      </w:r>
      <w:r w:rsidR="00B01E85" w:rsidRPr="0096488C">
        <w:rPr>
          <w:szCs w:val="28"/>
          <w:lang w:val="sv-SE"/>
        </w:rPr>
        <w:t>được</w:t>
      </w:r>
      <w:r w:rsidRPr="0096488C">
        <w:rPr>
          <w:szCs w:val="28"/>
          <w:lang w:val="sv-SE"/>
        </w:rPr>
        <w:t xml:space="preserve"> xác định </w:t>
      </w:r>
      <w:r w:rsidR="00B01E85" w:rsidRPr="0096488C">
        <w:rPr>
          <w:szCs w:val="28"/>
          <w:lang w:val="sv-SE"/>
        </w:rPr>
        <w:t>vào thời điểm cuối năm</w:t>
      </w:r>
      <w:r w:rsidR="00D542A2" w:rsidRPr="0096488C">
        <w:rPr>
          <w:szCs w:val="28"/>
          <w:lang w:val="sv-SE"/>
        </w:rPr>
        <w:t xml:space="preserve"> (31/12)</w:t>
      </w:r>
      <w:r w:rsidRPr="0096488C">
        <w:rPr>
          <w:szCs w:val="28"/>
          <w:lang w:val="sv-SE"/>
        </w:rPr>
        <w:t>.</w:t>
      </w:r>
    </w:p>
    <w:p w14:paraId="4B1A0ED8" w14:textId="7F897E35" w:rsidR="00377DF3" w:rsidRPr="0096488C" w:rsidRDefault="00377DF3" w:rsidP="0096488C">
      <w:pPr>
        <w:spacing w:before="60" w:after="60" w:line="264" w:lineRule="auto"/>
        <w:ind w:firstLine="720"/>
        <w:jc w:val="both"/>
        <w:rPr>
          <w:szCs w:val="28"/>
          <w:lang w:val="sv-SE"/>
        </w:rPr>
      </w:pPr>
      <w:r w:rsidRPr="0096488C">
        <w:rPr>
          <w:szCs w:val="28"/>
          <w:lang w:val="sv-SE"/>
        </w:rPr>
        <w:t xml:space="preserve">+ </w:t>
      </w:r>
      <w:r w:rsidR="00482D69" w:rsidRPr="0096488C">
        <w:rPr>
          <w:szCs w:val="28"/>
          <w:lang w:val="sv-SE"/>
        </w:rPr>
        <w:t xml:space="preserve">Trên cơ sở căn cứ phân loại xác định tại Điều 4, </w:t>
      </w:r>
      <w:r w:rsidR="008309B7" w:rsidRPr="0096488C">
        <w:rPr>
          <w:szCs w:val="28"/>
          <w:lang w:val="sv-SE"/>
        </w:rPr>
        <w:t>HTX</w:t>
      </w:r>
      <w:r w:rsidRPr="0096488C">
        <w:rPr>
          <w:szCs w:val="28"/>
          <w:lang w:val="sv-SE"/>
        </w:rPr>
        <w:t xml:space="preserve"> </w:t>
      </w:r>
      <w:r w:rsidR="00C05800" w:rsidRPr="0096488C">
        <w:rPr>
          <w:szCs w:val="28"/>
          <w:lang w:val="sv-SE"/>
        </w:rPr>
        <w:t xml:space="preserve">được phân loại </w:t>
      </w:r>
      <w:r w:rsidRPr="0096488C">
        <w:rPr>
          <w:szCs w:val="28"/>
          <w:lang w:val="sv-SE"/>
        </w:rPr>
        <w:t xml:space="preserve">theo quy mô lớn, vừa, nhỏ và siêu nhỏ </w:t>
      </w:r>
      <w:r w:rsidR="008C642B" w:rsidRPr="0096488C">
        <w:rPr>
          <w:szCs w:val="28"/>
          <w:lang w:val="sv-SE"/>
        </w:rPr>
        <w:t>theo từng</w:t>
      </w:r>
      <w:r w:rsidR="00B01E85" w:rsidRPr="0096488C">
        <w:rPr>
          <w:szCs w:val="28"/>
          <w:lang w:val="sv-SE"/>
        </w:rPr>
        <w:t xml:space="preserve"> lĩnh vực</w:t>
      </w:r>
      <w:r w:rsidRPr="0096488C">
        <w:rPr>
          <w:szCs w:val="28"/>
          <w:lang w:val="sv-SE"/>
        </w:rPr>
        <w:t xml:space="preserve"> tại Điều 5</w:t>
      </w:r>
      <w:r w:rsidR="00A95AD7" w:rsidRPr="0096488C">
        <w:rPr>
          <w:szCs w:val="28"/>
          <w:lang w:val="sv-SE"/>
        </w:rPr>
        <w:t>, cụ thể:</w:t>
      </w:r>
    </w:p>
    <w:tbl>
      <w:tblPr>
        <w:tblW w:w="9062" w:type="dxa"/>
        <w:tblLook w:val="04A0" w:firstRow="1" w:lastRow="0" w:firstColumn="1" w:lastColumn="0" w:noHBand="0" w:noVBand="1"/>
      </w:tblPr>
      <w:tblGrid>
        <w:gridCol w:w="844"/>
        <w:gridCol w:w="575"/>
        <w:gridCol w:w="635"/>
        <w:gridCol w:w="688"/>
        <w:gridCol w:w="870"/>
        <w:gridCol w:w="573"/>
        <w:gridCol w:w="635"/>
        <w:gridCol w:w="647"/>
        <w:gridCol w:w="870"/>
        <w:gridCol w:w="573"/>
        <w:gridCol w:w="635"/>
        <w:gridCol w:w="647"/>
        <w:gridCol w:w="870"/>
      </w:tblGrid>
      <w:tr w:rsidR="0096488C" w:rsidRPr="0096488C" w14:paraId="38B78533" w14:textId="77777777" w:rsidTr="00A460A8">
        <w:trPr>
          <w:trHeight w:val="300"/>
        </w:trPr>
        <w:tc>
          <w:tcPr>
            <w:tcW w:w="8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C1A5D0"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Phân loại</w:t>
            </w:r>
          </w:p>
        </w:tc>
        <w:tc>
          <w:tcPr>
            <w:tcW w:w="277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802D37D"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Thành viên</w:t>
            </w:r>
          </w:p>
        </w:tc>
        <w:tc>
          <w:tcPr>
            <w:tcW w:w="2716"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781B5A"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Doanh thu (tỷ đồng)</w:t>
            </w:r>
          </w:p>
        </w:tc>
        <w:tc>
          <w:tcPr>
            <w:tcW w:w="2716"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BE4DB2"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Tổng nguồn vốn (tỷ đồng)</w:t>
            </w:r>
          </w:p>
        </w:tc>
      </w:tr>
      <w:tr w:rsidR="0096488C" w:rsidRPr="0096488C" w14:paraId="3EE97495" w14:textId="77777777" w:rsidTr="00A460A8">
        <w:trPr>
          <w:trHeight w:val="1140"/>
        </w:trPr>
        <w:tc>
          <w:tcPr>
            <w:tcW w:w="8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7DBFC7" w14:textId="77777777" w:rsidR="00A95AD7" w:rsidRPr="0096488C" w:rsidRDefault="00A95AD7" w:rsidP="0096488C">
            <w:pPr>
              <w:spacing w:before="60" w:after="60" w:line="264" w:lineRule="auto"/>
              <w:rPr>
                <w:rFonts w:cs="Times New Roman"/>
                <w:b/>
                <w:bCs/>
                <w:sz w:val="24"/>
                <w:szCs w:val="24"/>
              </w:rPr>
            </w:pPr>
          </w:p>
        </w:tc>
        <w:tc>
          <w:tcPr>
            <w:tcW w:w="582" w:type="dxa"/>
            <w:tcBorders>
              <w:top w:val="nil"/>
              <w:left w:val="nil"/>
              <w:bottom w:val="single" w:sz="4" w:space="0" w:color="auto"/>
              <w:right w:val="single" w:sz="4" w:space="0" w:color="auto"/>
            </w:tcBorders>
            <w:shd w:val="clear" w:color="auto" w:fill="auto"/>
            <w:vAlign w:val="bottom"/>
            <w:hideMark/>
          </w:tcPr>
          <w:p w14:paraId="3A3335B9"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NN</w:t>
            </w:r>
          </w:p>
        </w:tc>
        <w:tc>
          <w:tcPr>
            <w:tcW w:w="631" w:type="dxa"/>
            <w:tcBorders>
              <w:top w:val="nil"/>
              <w:left w:val="nil"/>
              <w:bottom w:val="single" w:sz="4" w:space="0" w:color="auto"/>
              <w:right w:val="single" w:sz="4" w:space="0" w:color="auto"/>
            </w:tcBorders>
            <w:shd w:val="clear" w:color="auto" w:fill="auto"/>
            <w:vAlign w:val="bottom"/>
            <w:hideMark/>
          </w:tcPr>
          <w:p w14:paraId="59A0BA92"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CN-XD</w:t>
            </w:r>
          </w:p>
        </w:tc>
        <w:tc>
          <w:tcPr>
            <w:tcW w:w="697" w:type="dxa"/>
            <w:tcBorders>
              <w:top w:val="nil"/>
              <w:left w:val="nil"/>
              <w:bottom w:val="single" w:sz="4" w:space="0" w:color="auto"/>
              <w:right w:val="single" w:sz="4" w:space="0" w:color="auto"/>
            </w:tcBorders>
            <w:shd w:val="clear" w:color="auto" w:fill="auto"/>
            <w:vAlign w:val="bottom"/>
            <w:hideMark/>
          </w:tcPr>
          <w:p w14:paraId="06224E02"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TC-NH-BH</w:t>
            </w:r>
          </w:p>
        </w:tc>
        <w:tc>
          <w:tcPr>
            <w:tcW w:w="863" w:type="dxa"/>
            <w:tcBorders>
              <w:top w:val="nil"/>
              <w:left w:val="nil"/>
              <w:bottom w:val="single" w:sz="4" w:space="0" w:color="auto"/>
              <w:right w:val="single" w:sz="4" w:space="0" w:color="auto"/>
            </w:tcBorders>
            <w:shd w:val="clear" w:color="auto" w:fill="auto"/>
            <w:vAlign w:val="bottom"/>
            <w:hideMark/>
          </w:tcPr>
          <w:p w14:paraId="6D174378"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TM-DV&amp;#</w:t>
            </w:r>
          </w:p>
        </w:tc>
        <w:tc>
          <w:tcPr>
            <w:tcW w:w="580" w:type="dxa"/>
            <w:tcBorders>
              <w:top w:val="nil"/>
              <w:left w:val="nil"/>
              <w:bottom w:val="single" w:sz="4" w:space="0" w:color="auto"/>
              <w:right w:val="single" w:sz="4" w:space="0" w:color="auto"/>
            </w:tcBorders>
            <w:shd w:val="clear" w:color="auto" w:fill="auto"/>
            <w:vAlign w:val="bottom"/>
            <w:hideMark/>
          </w:tcPr>
          <w:p w14:paraId="30843AE5"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NN</w:t>
            </w:r>
          </w:p>
        </w:tc>
        <w:tc>
          <w:tcPr>
            <w:tcW w:w="630" w:type="dxa"/>
            <w:tcBorders>
              <w:top w:val="nil"/>
              <w:left w:val="nil"/>
              <w:bottom w:val="single" w:sz="4" w:space="0" w:color="auto"/>
              <w:right w:val="single" w:sz="4" w:space="0" w:color="auto"/>
            </w:tcBorders>
            <w:shd w:val="clear" w:color="auto" w:fill="auto"/>
            <w:vAlign w:val="bottom"/>
            <w:hideMark/>
          </w:tcPr>
          <w:p w14:paraId="5BD43709"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CN-XD</w:t>
            </w:r>
          </w:p>
        </w:tc>
        <w:tc>
          <w:tcPr>
            <w:tcW w:w="643" w:type="dxa"/>
            <w:tcBorders>
              <w:top w:val="nil"/>
              <w:left w:val="nil"/>
              <w:bottom w:val="single" w:sz="4" w:space="0" w:color="auto"/>
              <w:right w:val="single" w:sz="4" w:space="0" w:color="auto"/>
            </w:tcBorders>
            <w:shd w:val="clear" w:color="auto" w:fill="auto"/>
            <w:vAlign w:val="bottom"/>
            <w:hideMark/>
          </w:tcPr>
          <w:p w14:paraId="775037EC"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TC-NH-BH</w:t>
            </w:r>
          </w:p>
        </w:tc>
        <w:tc>
          <w:tcPr>
            <w:tcW w:w="863" w:type="dxa"/>
            <w:tcBorders>
              <w:top w:val="nil"/>
              <w:left w:val="nil"/>
              <w:bottom w:val="single" w:sz="4" w:space="0" w:color="auto"/>
              <w:right w:val="single" w:sz="4" w:space="0" w:color="auto"/>
            </w:tcBorders>
            <w:shd w:val="clear" w:color="auto" w:fill="auto"/>
            <w:vAlign w:val="bottom"/>
            <w:hideMark/>
          </w:tcPr>
          <w:p w14:paraId="5B7E48E7"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TM-DV&amp;#</w:t>
            </w:r>
          </w:p>
        </w:tc>
        <w:tc>
          <w:tcPr>
            <w:tcW w:w="580" w:type="dxa"/>
            <w:tcBorders>
              <w:top w:val="nil"/>
              <w:left w:val="nil"/>
              <w:bottom w:val="single" w:sz="4" w:space="0" w:color="auto"/>
              <w:right w:val="single" w:sz="4" w:space="0" w:color="auto"/>
            </w:tcBorders>
            <w:shd w:val="clear" w:color="auto" w:fill="auto"/>
            <w:vAlign w:val="bottom"/>
            <w:hideMark/>
          </w:tcPr>
          <w:p w14:paraId="16BF9C9D"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NN</w:t>
            </w:r>
          </w:p>
        </w:tc>
        <w:tc>
          <w:tcPr>
            <w:tcW w:w="630" w:type="dxa"/>
            <w:tcBorders>
              <w:top w:val="nil"/>
              <w:left w:val="nil"/>
              <w:bottom w:val="single" w:sz="4" w:space="0" w:color="auto"/>
              <w:right w:val="single" w:sz="4" w:space="0" w:color="auto"/>
            </w:tcBorders>
            <w:shd w:val="clear" w:color="auto" w:fill="auto"/>
            <w:vAlign w:val="bottom"/>
            <w:hideMark/>
          </w:tcPr>
          <w:p w14:paraId="4FE7EC94"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CN-XD</w:t>
            </w:r>
          </w:p>
        </w:tc>
        <w:tc>
          <w:tcPr>
            <w:tcW w:w="643" w:type="dxa"/>
            <w:tcBorders>
              <w:top w:val="nil"/>
              <w:left w:val="nil"/>
              <w:bottom w:val="single" w:sz="4" w:space="0" w:color="auto"/>
              <w:right w:val="single" w:sz="4" w:space="0" w:color="auto"/>
            </w:tcBorders>
            <w:shd w:val="clear" w:color="auto" w:fill="auto"/>
            <w:vAlign w:val="bottom"/>
            <w:hideMark/>
          </w:tcPr>
          <w:p w14:paraId="0F6BD6CA"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TC-NH-BH</w:t>
            </w:r>
          </w:p>
        </w:tc>
        <w:tc>
          <w:tcPr>
            <w:tcW w:w="863" w:type="dxa"/>
            <w:tcBorders>
              <w:top w:val="nil"/>
              <w:left w:val="nil"/>
              <w:bottom w:val="single" w:sz="4" w:space="0" w:color="auto"/>
              <w:right w:val="single" w:sz="4" w:space="0" w:color="auto"/>
            </w:tcBorders>
            <w:shd w:val="clear" w:color="auto" w:fill="auto"/>
            <w:vAlign w:val="bottom"/>
            <w:hideMark/>
          </w:tcPr>
          <w:p w14:paraId="371BC1E0" w14:textId="77777777" w:rsidR="00A95AD7" w:rsidRPr="0096488C" w:rsidRDefault="00A95AD7" w:rsidP="0096488C">
            <w:pPr>
              <w:spacing w:before="60" w:after="60" w:line="264" w:lineRule="auto"/>
              <w:jc w:val="center"/>
              <w:rPr>
                <w:rFonts w:cs="Times New Roman"/>
                <w:b/>
                <w:bCs/>
                <w:sz w:val="24"/>
                <w:szCs w:val="24"/>
              </w:rPr>
            </w:pPr>
            <w:r w:rsidRPr="0096488C">
              <w:rPr>
                <w:rFonts w:cs="Times New Roman"/>
                <w:b/>
                <w:bCs/>
                <w:sz w:val="24"/>
                <w:szCs w:val="24"/>
              </w:rPr>
              <w:t>TM-DV&amp;#</w:t>
            </w:r>
          </w:p>
        </w:tc>
      </w:tr>
      <w:tr w:rsidR="0096488C" w:rsidRPr="0096488C" w14:paraId="7D2048B0" w14:textId="77777777" w:rsidTr="00ED159B">
        <w:trPr>
          <w:trHeight w:val="30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1D2A598A"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Lớn</w:t>
            </w:r>
          </w:p>
        </w:tc>
        <w:tc>
          <w:tcPr>
            <w:tcW w:w="582" w:type="dxa"/>
            <w:tcBorders>
              <w:top w:val="nil"/>
              <w:left w:val="nil"/>
              <w:bottom w:val="single" w:sz="4" w:space="0" w:color="auto"/>
              <w:right w:val="single" w:sz="4" w:space="0" w:color="auto"/>
            </w:tcBorders>
            <w:shd w:val="clear" w:color="auto" w:fill="auto"/>
            <w:noWrap/>
            <w:vAlign w:val="center"/>
            <w:hideMark/>
          </w:tcPr>
          <w:p w14:paraId="7CB9BBB3"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300</w:t>
            </w:r>
          </w:p>
        </w:tc>
        <w:tc>
          <w:tcPr>
            <w:tcW w:w="631" w:type="dxa"/>
            <w:tcBorders>
              <w:top w:val="nil"/>
              <w:left w:val="nil"/>
              <w:bottom w:val="single" w:sz="4" w:space="0" w:color="auto"/>
              <w:right w:val="single" w:sz="4" w:space="0" w:color="auto"/>
            </w:tcBorders>
            <w:shd w:val="clear" w:color="auto" w:fill="auto"/>
            <w:noWrap/>
            <w:vAlign w:val="center"/>
            <w:hideMark/>
          </w:tcPr>
          <w:p w14:paraId="7C62C78C"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100</w:t>
            </w:r>
          </w:p>
        </w:tc>
        <w:tc>
          <w:tcPr>
            <w:tcW w:w="697" w:type="dxa"/>
            <w:tcBorders>
              <w:top w:val="nil"/>
              <w:left w:val="nil"/>
              <w:bottom w:val="single" w:sz="4" w:space="0" w:color="auto"/>
              <w:right w:val="single" w:sz="4" w:space="0" w:color="auto"/>
            </w:tcBorders>
            <w:shd w:val="clear" w:color="auto" w:fill="auto"/>
            <w:noWrap/>
            <w:vAlign w:val="center"/>
            <w:hideMark/>
          </w:tcPr>
          <w:p w14:paraId="748E3A12"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1000</w:t>
            </w:r>
          </w:p>
        </w:tc>
        <w:tc>
          <w:tcPr>
            <w:tcW w:w="863" w:type="dxa"/>
            <w:tcBorders>
              <w:top w:val="nil"/>
              <w:left w:val="nil"/>
              <w:bottom w:val="single" w:sz="4" w:space="0" w:color="auto"/>
              <w:right w:val="single" w:sz="4" w:space="0" w:color="auto"/>
            </w:tcBorders>
            <w:shd w:val="clear" w:color="auto" w:fill="auto"/>
            <w:noWrap/>
            <w:vAlign w:val="center"/>
            <w:hideMark/>
          </w:tcPr>
          <w:p w14:paraId="0F56BA41"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200</w:t>
            </w:r>
          </w:p>
        </w:tc>
        <w:tc>
          <w:tcPr>
            <w:tcW w:w="580" w:type="dxa"/>
            <w:tcBorders>
              <w:top w:val="nil"/>
              <w:left w:val="nil"/>
              <w:bottom w:val="single" w:sz="4" w:space="0" w:color="auto"/>
              <w:right w:val="single" w:sz="4" w:space="0" w:color="auto"/>
            </w:tcBorders>
            <w:shd w:val="clear" w:color="auto" w:fill="auto"/>
            <w:noWrap/>
            <w:vAlign w:val="center"/>
            <w:hideMark/>
          </w:tcPr>
          <w:p w14:paraId="0D3410E1"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50</w:t>
            </w:r>
          </w:p>
        </w:tc>
        <w:tc>
          <w:tcPr>
            <w:tcW w:w="630" w:type="dxa"/>
            <w:tcBorders>
              <w:top w:val="nil"/>
              <w:left w:val="nil"/>
              <w:bottom w:val="single" w:sz="4" w:space="0" w:color="auto"/>
              <w:right w:val="single" w:sz="4" w:space="0" w:color="auto"/>
            </w:tcBorders>
            <w:shd w:val="clear" w:color="auto" w:fill="auto"/>
            <w:noWrap/>
            <w:vAlign w:val="center"/>
            <w:hideMark/>
          </w:tcPr>
          <w:p w14:paraId="2178433C"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80</w:t>
            </w:r>
          </w:p>
        </w:tc>
        <w:tc>
          <w:tcPr>
            <w:tcW w:w="643" w:type="dxa"/>
            <w:tcBorders>
              <w:top w:val="nil"/>
              <w:left w:val="nil"/>
              <w:bottom w:val="single" w:sz="4" w:space="0" w:color="auto"/>
              <w:right w:val="single" w:sz="4" w:space="0" w:color="auto"/>
            </w:tcBorders>
            <w:shd w:val="clear" w:color="auto" w:fill="auto"/>
            <w:noWrap/>
            <w:vAlign w:val="center"/>
            <w:hideMark/>
          </w:tcPr>
          <w:p w14:paraId="1DB810D1"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200</w:t>
            </w:r>
          </w:p>
        </w:tc>
        <w:tc>
          <w:tcPr>
            <w:tcW w:w="863" w:type="dxa"/>
            <w:tcBorders>
              <w:top w:val="nil"/>
              <w:left w:val="nil"/>
              <w:bottom w:val="single" w:sz="4" w:space="0" w:color="auto"/>
              <w:right w:val="single" w:sz="4" w:space="0" w:color="auto"/>
            </w:tcBorders>
            <w:shd w:val="clear" w:color="auto" w:fill="auto"/>
            <w:noWrap/>
            <w:vAlign w:val="center"/>
            <w:hideMark/>
          </w:tcPr>
          <w:p w14:paraId="3969E85C"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100</w:t>
            </w:r>
          </w:p>
        </w:tc>
        <w:tc>
          <w:tcPr>
            <w:tcW w:w="580" w:type="dxa"/>
            <w:tcBorders>
              <w:top w:val="nil"/>
              <w:left w:val="nil"/>
              <w:bottom w:val="single" w:sz="4" w:space="0" w:color="auto"/>
              <w:right w:val="single" w:sz="4" w:space="0" w:color="auto"/>
            </w:tcBorders>
            <w:shd w:val="clear" w:color="auto" w:fill="auto"/>
            <w:noWrap/>
            <w:vAlign w:val="center"/>
            <w:hideMark/>
          </w:tcPr>
          <w:p w14:paraId="2F03E15F"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w:t>
            </w:r>
          </w:p>
        </w:tc>
        <w:tc>
          <w:tcPr>
            <w:tcW w:w="630" w:type="dxa"/>
            <w:tcBorders>
              <w:top w:val="nil"/>
              <w:left w:val="nil"/>
              <w:bottom w:val="single" w:sz="4" w:space="0" w:color="auto"/>
              <w:right w:val="single" w:sz="4" w:space="0" w:color="auto"/>
            </w:tcBorders>
            <w:shd w:val="clear" w:color="auto" w:fill="auto"/>
            <w:noWrap/>
            <w:vAlign w:val="center"/>
            <w:hideMark/>
          </w:tcPr>
          <w:p w14:paraId="42E9CC15"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w:t>
            </w:r>
          </w:p>
        </w:tc>
        <w:tc>
          <w:tcPr>
            <w:tcW w:w="643" w:type="dxa"/>
            <w:tcBorders>
              <w:top w:val="nil"/>
              <w:left w:val="nil"/>
              <w:bottom w:val="single" w:sz="4" w:space="0" w:color="auto"/>
              <w:right w:val="single" w:sz="4" w:space="0" w:color="auto"/>
            </w:tcBorders>
            <w:shd w:val="clear" w:color="auto" w:fill="auto"/>
            <w:noWrap/>
            <w:vAlign w:val="center"/>
            <w:hideMark/>
          </w:tcPr>
          <w:p w14:paraId="1E4721EA"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50</w:t>
            </w:r>
          </w:p>
        </w:tc>
        <w:tc>
          <w:tcPr>
            <w:tcW w:w="863" w:type="dxa"/>
            <w:tcBorders>
              <w:top w:val="nil"/>
              <w:left w:val="nil"/>
              <w:bottom w:val="single" w:sz="4" w:space="0" w:color="auto"/>
              <w:right w:val="single" w:sz="4" w:space="0" w:color="auto"/>
            </w:tcBorders>
            <w:shd w:val="clear" w:color="auto" w:fill="auto"/>
            <w:noWrap/>
            <w:vAlign w:val="center"/>
            <w:hideMark/>
          </w:tcPr>
          <w:p w14:paraId="29ECD125"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w:t>
            </w:r>
          </w:p>
        </w:tc>
      </w:tr>
      <w:tr w:rsidR="0096488C" w:rsidRPr="0096488C" w14:paraId="2B5BD7AE" w14:textId="77777777" w:rsidTr="00ED159B">
        <w:trPr>
          <w:trHeight w:val="30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5A917661"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Vừa</w:t>
            </w:r>
          </w:p>
        </w:tc>
        <w:tc>
          <w:tcPr>
            <w:tcW w:w="582" w:type="dxa"/>
            <w:tcBorders>
              <w:top w:val="nil"/>
              <w:left w:val="nil"/>
              <w:bottom w:val="single" w:sz="4" w:space="0" w:color="auto"/>
              <w:right w:val="single" w:sz="4" w:space="0" w:color="auto"/>
            </w:tcBorders>
            <w:shd w:val="clear" w:color="auto" w:fill="auto"/>
            <w:noWrap/>
            <w:vAlign w:val="center"/>
            <w:hideMark/>
          </w:tcPr>
          <w:p w14:paraId="19775D8D"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200</w:t>
            </w:r>
          </w:p>
        </w:tc>
        <w:tc>
          <w:tcPr>
            <w:tcW w:w="631" w:type="dxa"/>
            <w:tcBorders>
              <w:top w:val="nil"/>
              <w:left w:val="nil"/>
              <w:bottom w:val="single" w:sz="4" w:space="0" w:color="auto"/>
              <w:right w:val="single" w:sz="4" w:space="0" w:color="auto"/>
            </w:tcBorders>
            <w:shd w:val="clear" w:color="auto" w:fill="auto"/>
            <w:noWrap/>
            <w:vAlign w:val="center"/>
            <w:hideMark/>
          </w:tcPr>
          <w:p w14:paraId="134CBCCC"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50</w:t>
            </w:r>
          </w:p>
        </w:tc>
        <w:tc>
          <w:tcPr>
            <w:tcW w:w="697" w:type="dxa"/>
            <w:tcBorders>
              <w:top w:val="nil"/>
              <w:left w:val="nil"/>
              <w:bottom w:val="single" w:sz="4" w:space="0" w:color="auto"/>
              <w:right w:val="single" w:sz="4" w:space="0" w:color="auto"/>
            </w:tcBorders>
            <w:shd w:val="clear" w:color="auto" w:fill="auto"/>
            <w:noWrap/>
            <w:vAlign w:val="center"/>
            <w:hideMark/>
          </w:tcPr>
          <w:p w14:paraId="01F39808"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500</w:t>
            </w:r>
          </w:p>
        </w:tc>
        <w:tc>
          <w:tcPr>
            <w:tcW w:w="863" w:type="dxa"/>
            <w:tcBorders>
              <w:top w:val="nil"/>
              <w:left w:val="nil"/>
              <w:bottom w:val="single" w:sz="4" w:space="0" w:color="auto"/>
              <w:right w:val="single" w:sz="4" w:space="0" w:color="auto"/>
            </w:tcBorders>
            <w:shd w:val="clear" w:color="auto" w:fill="auto"/>
            <w:noWrap/>
            <w:vAlign w:val="center"/>
            <w:hideMark/>
          </w:tcPr>
          <w:p w14:paraId="791C2E0A"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100</w:t>
            </w:r>
          </w:p>
        </w:tc>
        <w:tc>
          <w:tcPr>
            <w:tcW w:w="580" w:type="dxa"/>
            <w:tcBorders>
              <w:top w:val="nil"/>
              <w:left w:val="nil"/>
              <w:bottom w:val="single" w:sz="4" w:space="0" w:color="auto"/>
              <w:right w:val="single" w:sz="4" w:space="0" w:color="auto"/>
            </w:tcBorders>
            <w:shd w:val="clear" w:color="auto" w:fill="auto"/>
            <w:noWrap/>
            <w:vAlign w:val="center"/>
            <w:hideMark/>
          </w:tcPr>
          <w:p w14:paraId="491F2C3F"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w:t>
            </w:r>
          </w:p>
        </w:tc>
        <w:tc>
          <w:tcPr>
            <w:tcW w:w="630" w:type="dxa"/>
            <w:tcBorders>
              <w:top w:val="nil"/>
              <w:left w:val="nil"/>
              <w:bottom w:val="single" w:sz="4" w:space="0" w:color="auto"/>
              <w:right w:val="single" w:sz="4" w:space="0" w:color="auto"/>
            </w:tcBorders>
            <w:shd w:val="clear" w:color="auto" w:fill="auto"/>
            <w:noWrap/>
            <w:vAlign w:val="center"/>
            <w:hideMark/>
          </w:tcPr>
          <w:p w14:paraId="4BF14BF8"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15</w:t>
            </w:r>
          </w:p>
        </w:tc>
        <w:tc>
          <w:tcPr>
            <w:tcW w:w="643" w:type="dxa"/>
            <w:tcBorders>
              <w:top w:val="nil"/>
              <w:left w:val="nil"/>
              <w:bottom w:val="single" w:sz="4" w:space="0" w:color="auto"/>
              <w:right w:val="single" w:sz="4" w:space="0" w:color="auto"/>
            </w:tcBorders>
            <w:shd w:val="clear" w:color="auto" w:fill="auto"/>
            <w:noWrap/>
            <w:vAlign w:val="center"/>
            <w:hideMark/>
          </w:tcPr>
          <w:p w14:paraId="02FC5632"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100</w:t>
            </w:r>
          </w:p>
        </w:tc>
        <w:tc>
          <w:tcPr>
            <w:tcW w:w="863" w:type="dxa"/>
            <w:tcBorders>
              <w:top w:val="nil"/>
              <w:left w:val="nil"/>
              <w:bottom w:val="single" w:sz="4" w:space="0" w:color="auto"/>
              <w:right w:val="single" w:sz="4" w:space="0" w:color="auto"/>
            </w:tcBorders>
            <w:shd w:val="clear" w:color="auto" w:fill="auto"/>
            <w:noWrap/>
            <w:vAlign w:val="center"/>
            <w:hideMark/>
          </w:tcPr>
          <w:p w14:paraId="25835B43"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w:t>
            </w:r>
          </w:p>
        </w:tc>
        <w:tc>
          <w:tcPr>
            <w:tcW w:w="580" w:type="dxa"/>
            <w:tcBorders>
              <w:top w:val="nil"/>
              <w:left w:val="nil"/>
              <w:bottom w:val="single" w:sz="4" w:space="0" w:color="auto"/>
              <w:right w:val="single" w:sz="4" w:space="0" w:color="auto"/>
            </w:tcBorders>
            <w:shd w:val="clear" w:color="auto" w:fill="auto"/>
            <w:noWrap/>
            <w:vAlign w:val="center"/>
            <w:hideMark/>
          </w:tcPr>
          <w:p w14:paraId="3B50DB6E"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5</w:t>
            </w:r>
          </w:p>
        </w:tc>
        <w:tc>
          <w:tcPr>
            <w:tcW w:w="630" w:type="dxa"/>
            <w:tcBorders>
              <w:top w:val="nil"/>
              <w:left w:val="nil"/>
              <w:bottom w:val="single" w:sz="4" w:space="0" w:color="auto"/>
              <w:right w:val="single" w:sz="4" w:space="0" w:color="auto"/>
            </w:tcBorders>
            <w:shd w:val="clear" w:color="auto" w:fill="auto"/>
            <w:noWrap/>
            <w:vAlign w:val="center"/>
            <w:hideMark/>
          </w:tcPr>
          <w:p w14:paraId="27FEDD62"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w:t>
            </w:r>
          </w:p>
        </w:tc>
        <w:tc>
          <w:tcPr>
            <w:tcW w:w="643" w:type="dxa"/>
            <w:tcBorders>
              <w:top w:val="nil"/>
              <w:left w:val="nil"/>
              <w:bottom w:val="single" w:sz="4" w:space="0" w:color="auto"/>
              <w:right w:val="single" w:sz="4" w:space="0" w:color="auto"/>
            </w:tcBorders>
            <w:shd w:val="clear" w:color="auto" w:fill="auto"/>
            <w:noWrap/>
            <w:vAlign w:val="center"/>
            <w:hideMark/>
          </w:tcPr>
          <w:p w14:paraId="777FCAF2"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w:t>
            </w:r>
          </w:p>
        </w:tc>
        <w:tc>
          <w:tcPr>
            <w:tcW w:w="863" w:type="dxa"/>
            <w:tcBorders>
              <w:top w:val="nil"/>
              <w:left w:val="nil"/>
              <w:bottom w:val="single" w:sz="4" w:space="0" w:color="auto"/>
              <w:right w:val="single" w:sz="4" w:space="0" w:color="auto"/>
            </w:tcBorders>
            <w:shd w:val="clear" w:color="auto" w:fill="auto"/>
            <w:noWrap/>
            <w:vAlign w:val="center"/>
            <w:hideMark/>
          </w:tcPr>
          <w:p w14:paraId="7C9997A7"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w:t>
            </w:r>
          </w:p>
        </w:tc>
      </w:tr>
      <w:tr w:rsidR="0096488C" w:rsidRPr="0096488C" w14:paraId="2C7A3AFB" w14:textId="77777777" w:rsidTr="00ED159B">
        <w:trPr>
          <w:trHeight w:val="30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D6E0B58"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nhỏ</w:t>
            </w:r>
          </w:p>
        </w:tc>
        <w:tc>
          <w:tcPr>
            <w:tcW w:w="582" w:type="dxa"/>
            <w:tcBorders>
              <w:top w:val="nil"/>
              <w:left w:val="nil"/>
              <w:bottom w:val="single" w:sz="4" w:space="0" w:color="auto"/>
              <w:right w:val="single" w:sz="4" w:space="0" w:color="auto"/>
            </w:tcBorders>
            <w:shd w:val="clear" w:color="auto" w:fill="auto"/>
            <w:noWrap/>
            <w:vAlign w:val="center"/>
            <w:hideMark/>
          </w:tcPr>
          <w:p w14:paraId="01B626B5"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50</w:t>
            </w:r>
          </w:p>
        </w:tc>
        <w:tc>
          <w:tcPr>
            <w:tcW w:w="631" w:type="dxa"/>
            <w:tcBorders>
              <w:top w:val="nil"/>
              <w:left w:val="nil"/>
              <w:bottom w:val="single" w:sz="4" w:space="0" w:color="auto"/>
              <w:right w:val="single" w:sz="4" w:space="0" w:color="auto"/>
            </w:tcBorders>
            <w:shd w:val="clear" w:color="auto" w:fill="auto"/>
            <w:noWrap/>
            <w:vAlign w:val="center"/>
            <w:hideMark/>
          </w:tcPr>
          <w:p w14:paraId="43F7AB6C"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w:t>
            </w:r>
          </w:p>
        </w:tc>
        <w:tc>
          <w:tcPr>
            <w:tcW w:w="697" w:type="dxa"/>
            <w:tcBorders>
              <w:top w:val="nil"/>
              <w:left w:val="nil"/>
              <w:bottom w:val="single" w:sz="4" w:space="0" w:color="auto"/>
              <w:right w:val="single" w:sz="4" w:space="0" w:color="auto"/>
            </w:tcBorders>
            <w:shd w:val="clear" w:color="auto" w:fill="auto"/>
            <w:noWrap/>
            <w:vAlign w:val="center"/>
            <w:hideMark/>
          </w:tcPr>
          <w:p w14:paraId="0F781486"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100</w:t>
            </w:r>
          </w:p>
        </w:tc>
        <w:tc>
          <w:tcPr>
            <w:tcW w:w="863" w:type="dxa"/>
            <w:tcBorders>
              <w:top w:val="nil"/>
              <w:left w:val="nil"/>
              <w:bottom w:val="single" w:sz="4" w:space="0" w:color="auto"/>
              <w:right w:val="single" w:sz="4" w:space="0" w:color="auto"/>
            </w:tcBorders>
            <w:shd w:val="clear" w:color="auto" w:fill="auto"/>
            <w:noWrap/>
            <w:vAlign w:val="center"/>
            <w:hideMark/>
          </w:tcPr>
          <w:p w14:paraId="0CB80B56"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20</w:t>
            </w:r>
          </w:p>
        </w:tc>
        <w:tc>
          <w:tcPr>
            <w:tcW w:w="580" w:type="dxa"/>
            <w:tcBorders>
              <w:top w:val="nil"/>
              <w:left w:val="nil"/>
              <w:bottom w:val="single" w:sz="4" w:space="0" w:color="auto"/>
              <w:right w:val="single" w:sz="4" w:space="0" w:color="auto"/>
            </w:tcBorders>
            <w:shd w:val="clear" w:color="auto" w:fill="auto"/>
            <w:noWrap/>
            <w:vAlign w:val="center"/>
            <w:hideMark/>
          </w:tcPr>
          <w:p w14:paraId="0B978DA1"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w:t>
            </w:r>
          </w:p>
        </w:tc>
        <w:tc>
          <w:tcPr>
            <w:tcW w:w="630" w:type="dxa"/>
            <w:tcBorders>
              <w:top w:val="nil"/>
              <w:left w:val="nil"/>
              <w:bottom w:val="single" w:sz="4" w:space="0" w:color="auto"/>
              <w:right w:val="single" w:sz="4" w:space="0" w:color="auto"/>
            </w:tcBorders>
            <w:shd w:val="clear" w:color="auto" w:fill="auto"/>
            <w:noWrap/>
            <w:vAlign w:val="center"/>
            <w:hideMark/>
          </w:tcPr>
          <w:p w14:paraId="5021137B"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3</w:t>
            </w:r>
          </w:p>
        </w:tc>
        <w:tc>
          <w:tcPr>
            <w:tcW w:w="643" w:type="dxa"/>
            <w:tcBorders>
              <w:top w:val="nil"/>
              <w:left w:val="nil"/>
              <w:bottom w:val="single" w:sz="4" w:space="0" w:color="auto"/>
              <w:right w:val="single" w:sz="4" w:space="0" w:color="auto"/>
            </w:tcBorders>
            <w:shd w:val="clear" w:color="auto" w:fill="auto"/>
            <w:noWrap/>
            <w:vAlign w:val="center"/>
            <w:hideMark/>
          </w:tcPr>
          <w:p w14:paraId="1FF54627"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50</w:t>
            </w:r>
          </w:p>
        </w:tc>
        <w:tc>
          <w:tcPr>
            <w:tcW w:w="863" w:type="dxa"/>
            <w:tcBorders>
              <w:top w:val="nil"/>
              <w:left w:val="nil"/>
              <w:bottom w:val="single" w:sz="4" w:space="0" w:color="auto"/>
              <w:right w:val="single" w:sz="4" w:space="0" w:color="auto"/>
            </w:tcBorders>
            <w:shd w:val="clear" w:color="auto" w:fill="auto"/>
            <w:noWrap/>
            <w:vAlign w:val="center"/>
            <w:hideMark/>
          </w:tcPr>
          <w:p w14:paraId="1F91124C"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5</w:t>
            </w:r>
          </w:p>
        </w:tc>
        <w:tc>
          <w:tcPr>
            <w:tcW w:w="580" w:type="dxa"/>
            <w:tcBorders>
              <w:top w:val="nil"/>
              <w:left w:val="nil"/>
              <w:bottom w:val="single" w:sz="4" w:space="0" w:color="auto"/>
              <w:right w:val="single" w:sz="4" w:space="0" w:color="auto"/>
            </w:tcBorders>
            <w:shd w:val="clear" w:color="auto" w:fill="auto"/>
            <w:noWrap/>
            <w:vAlign w:val="center"/>
            <w:hideMark/>
          </w:tcPr>
          <w:p w14:paraId="1B77B611"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w:t>
            </w:r>
          </w:p>
        </w:tc>
        <w:tc>
          <w:tcPr>
            <w:tcW w:w="630" w:type="dxa"/>
            <w:tcBorders>
              <w:top w:val="nil"/>
              <w:left w:val="nil"/>
              <w:bottom w:val="single" w:sz="4" w:space="0" w:color="auto"/>
              <w:right w:val="single" w:sz="4" w:space="0" w:color="auto"/>
            </w:tcBorders>
            <w:shd w:val="clear" w:color="auto" w:fill="auto"/>
            <w:noWrap/>
            <w:vAlign w:val="center"/>
            <w:hideMark/>
          </w:tcPr>
          <w:p w14:paraId="5A907674"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w:t>
            </w:r>
          </w:p>
        </w:tc>
        <w:tc>
          <w:tcPr>
            <w:tcW w:w="643" w:type="dxa"/>
            <w:tcBorders>
              <w:top w:val="nil"/>
              <w:left w:val="nil"/>
              <w:bottom w:val="single" w:sz="4" w:space="0" w:color="auto"/>
              <w:right w:val="single" w:sz="4" w:space="0" w:color="auto"/>
            </w:tcBorders>
            <w:shd w:val="clear" w:color="auto" w:fill="auto"/>
            <w:noWrap/>
            <w:vAlign w:val="center"/>
            <w:hideMark/>
          </w:tcPr>
          <w:p w14:paraId="731D1688"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10</w:t>
            </w:r>
          </w:p>
        </w:tc>
        <w:tc>
          <w:tcPr>
            <w:tcW w:w="863" w:type="dxa"/>
            <w:tcBorders>
              <w:top w:val="nil"/>
              <w:left w:val="nil"/>
              <w:bottom w:val="single" w:sz="4" w:space="0" w:color="auto"/>
              <w:right w:val="single" w:sz="4" w:space="0" w:color="auto"/>
            </w:tcBorders>
            <w:shd w:val="clear" w:color="auto" w:fill="auto"/>
            <w:noWrap/>
            <w:vAlign w:val="center"/>
            <w:hideMark/>
          </w:tcPr>
          <w:p w14:paraId="3DF649CE" w14:textId="77777777" w:rsidR="00A95AD7" w:rsidRPr="0096488C" w:rsidRDefault="00A95AD7" w:rsidP="0096488C">
            <w:pPr>
              <w:spacing w:after="0" w:line="240" w:lineRule="auto"/>
              <w:jc w:val="center"/>
              <w:rPr>
                <w:rFonts w:cs="Times New Roman"/>
                <w:sz w:val="24"/>
                <w:szCs w:val="24"/>
              </w:rPr>
            </w:pPr>
            <w:r w:rsidRPr="0096488C">
              <w:rPr>
                <w:rFonts w:cs="Times New Roman"/>
                <w:sz w:val="24"/>
                <w:szCs w:val="24"/>
              </w:rPr>
              <w:t>2</w:t>
            </w:r>
          </w:p>
        </w:tc>
      </w:tr>
      <w:tr w:rsidR="0096488C" w:rsidRPr="0096488C" w14:paraId="612B84CB" w14:textId="77777777" w:rsidTr="0096488C">
        <w:trPr>
          <w:trHeight w:val="214"/>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8356C2C" w14:textId="77777777" w:rsidR="00ED159B" w:rsidRPr="0096488C" w:rsidRDefault="00ED159B" w:rsidP="0096488C">
            <w:pPr>
              <w:spacing w:after="0" w:line="240" w:lineRule="auto"/>
              <w:jc w:val="center"/>
              <w:rPr>
                <w:rFonts w:cs="Times New Roman"/>
                <w:sz w:val="24"/>
                <w:szCs w:val="24"/>
              </w:rPr>
            </w:pPr>
            <w:r w:rsidRPr="0096488C">
              <w:rPr>
                <w:rFonts w:cs="Times New Roman"/>
                <w:sz w:val="24"/>
                <w:szCs w:val="24"/>
              </w:rPr>
              <w:t>Siêu nhỏ</w:t>
            </w:r>
          </w:p>
        </w:tc>
        <w:tc>
          <w:tcPr>
            <w:tcW w:w="8205" w:type="dxa"/>
            <w:gridSpan w:val="12"/>
            <w:tcBorders>
              <w:top w:val="nil"/>
              <w:left w:val="nil"/>
              <w:bottom w:val="single" w:sz="4" w:space="0" w:color="auto"/>
              <w:right w:val="single" w:sz="4" w:space="0" w:color="auto"/>
            </w:tcBorders>
            <w:shd w:val="clear" w:color="auto" w:fill="auto"/>
            <w:noWrap/>
            <w:vAlign w:val="bottom"/>
          </w:tcPr>
          <w:p w14:paraId="3CF369B8" w14:textId="0FD1B5F9" w:rsidR="00ED159B" w:rsidRPr="0096488C" w:rsidRDefault="00ED159B" w:rsidP="0096488C">
            <w:pPr>
              <w:spacing w:after="0" w:line="240" w:lineRule="auto"/>
              <w:jc w:val="center"/>
              <w:rPr>
                <w:rFonts w:cs="Times New Roman"/>
                <w:sz w:val="24"/>
                <w:szCs w:val="24"/>
              </w:rPr>
            </w:pPr>
            <w:r w:rsidRPr="0096488C">
              <w:rPr>
                <w:rFonts w:cs="Times New Roman"/>
                <w:sz w:val="24"/>
                <w:szCs w:val="24"/>
              </w:rPr>
              <w:t xml:space="preserve">Các HTX không thuộc quy mô lớn, vừa và nhỏ </w:t>
            </w:r>
            <w:r w:rsidR="00395524" w:rsidRPr="0096488C">
              <w:rPr>
                <w:rFonts w:cs="Times New Roman"/>
                <w:sz w:val="24"/>
                <w:szCs w:val="24"/>
              </w:rPr>
              <w:t xml:space="preserve">tương ứng </w:t>
            </w:r>
            <w:r w:rsidRPr="0096488C">
              <w:rPr>
                <w:rFonts w:cs="Times New Roman"/>
                <w:sz w:val="24"/>
                <w:szCs w:val="24"/>
              </w:rPr>
              <w:t>ở trên</w:t>
            </w:r>
          </w:p>
        </w:tc>
      </w:tr>
    </w:tbl>
    <w:p w14:paraId="6437910A" w14:textId="5873038F" w:rsidR="00A95AD7" w:rsidRPr="0096488C" w:rsidRDefault="00A95AD7" w:rsidP="0096488C">
      <w:pPr>
        <w:spacing w:before="60" w:after="60" w:line="264" w:lineRule="auto"/>
        <w:ind w:firstLine="720"/>
        <w:jc w:val="both"/>
        <w:rPr>
          <w:rFonts w:eastAsia="Times New Roman"/>
          <w:bCs/>
          <w:iCs/>
          <w:szCs w:val="28"/>
        </w:rPr>
      </w:pPr>
      <w:r w:rsidRPr="0096488C">
        <w:rPr>
          <w:rFonts w:eastAsia="Times New Roman"/>
          <w:bCs/>
          <w:iCs/>
          <w:szCs w:val="28"/>
        </w:rPr>
        <w:lastRenderedPageBreak/>
        <w:t xml:space="preserve">+ </w:t>
      </w:r>
      <w:r w:rsidR="00D542A2" w:rsidRPr="0096488C">
        <w:rPr>
          <w:rFonts w:eastAsia="Times New Roman"/>
          <w:bCs/>
          <w:iCs/>
          <w:szCs w:val="28"/>
        </w:rPr>
        <w:t>T</w:t>
      </w:r>
      <w:r w:rsidR="00482D69" w:rsidRPr="0096488C">
        <w:rPr>
          <w:rFonts w:eastAsia="Times New Roman"/>
          <w:bCs/>
          <w:iCs/>
          <w:szCs w:val="28"/>
        </w:rPr>
        <w:t>rường hợp HTX có thể đạt tiêu chí phân loại ở nhiều mức quy mô khác nhau, d</w:t>
      </w:r>
      <w:r w:rsidRPr="0096488C">
        <w:rPr>
          <w:rFonts w:eastAsia="Times New Roman"/>
          <w:bCs/>
          <w:iCs/>
          <w:szCs w:val="28"/>
        </w:rPr>
        <w:t xml:space="preserve">ự thảo Nghị định quy định rõ </w:t>
      </w:r>
      <w:r w:rsidRPr="0096488C">
        <w:rPr>
          <w:szCs w:val="28"/>
          <w:lang w:val="de-DE"/>
        </w:rPr>
        <w:t>quy mô HTX được xác định theo mức quy mô lớn nhất</w:t>
      </w:r>
      <w:r w:rsidR="00482D69" w:rsidRPr="0096488C">
        <w:rPr>
          <w:szCs w:val="28"/>
          <w:lang w:val="de-DE"/>
        </w:rPr>
        <w:t xml:space="preserve"> mà HTX đạt được</w:t>
      </w:r>
      <w:r w:rsidR="00D542A2" w:rsidRPr="0096488C">
        <w:rPr>
          <w:szCs w:val="28"/>
          <w:lang w:val="de-DE"/>
        </w:rPr>
        <w:t xml:space="preserve"> để tạo sự thống nhất</w:t>
      </w:r>
      <w:r w:rsidR="00E53707" w:rsidRPr="0096488C">
        <w:rPr>
          <w:szCs w:val="28"/>
          <w:lang w:val="de-DE"/>
        </w:rPr>
        <w:t>,</w:t>
      </w:r>
      <w:r w:rsidR="00D542A2" w:rsidRPr="0096488C">
        <w:rPr>
          <w:szCs w:val="28"/>
          <w:lang w:val="de-DE"/>
        </w:rPr>
        <w:t xml:space="preserve"> tránh việc các HTX lựa chọn quy mô nhỏ hơn để không</w:t>
      </w:r>
      <w:r w:rsidR="00075853" w:rsidRPr="0096488C">
        <w:rPr>
          <w:szCs w:val="28"/>
          <w:lang w:val="de-DE"/>
        </w:rPr>
        <w:t xml:space="preserve"> phải</w:t>
      </w:r>
      <w:r w:rsidR="00D542A2" w:rsidRPr="0096488C">
        <w:rPr>
          <w:szCs w:val="28"/>
          <w:lang w:val="de-DE"/>
        </w:rPr>
        <w:t xml:space="preserve"> thực hiện các quy định của pháp luật </w:t>
      </w:r>
      <w:r w:rsidR="00075853" w:rsidRPr="0096488C">
        <w:rPr>
          <w:szCs w:val="28"/>
          <w:lang w:val="de-DE"/>
        </w:rPr>
        <w:t xml:space="preserve">liên quan </w:t>
      </w:r>
      <w:r w:rsidR="00D542A2" w:rsidRPr="0096488C">
        <w:rPr>
          <w:szCs w:val="28"/>
          <w:lang w:val="de-DE"/>
        </w:rPr>
        <w:t>(như về tổ chức quản trị, kiểm toán)</w:t>
      </w:r>
      <w:r w:rsidRPr="0096488C">
        <w:rPr>
          <w:szCs w:val="28"/>
          <w:lang w:val="de-DE"/>
        </w:rPr>
        <w:t>.</w:t>
      </w:r>
    </w:p>
    <w:p w14:paraId="2081BB16" w14:textId="50BA079A" w:rsidR="00A72597" w:rsidRPr="0096488C" w:rsidRDefault="000D6878" w:rsidP="0096488C">
      <w:pPr>
        <w:pStyle w:val="Heading4"/>
        <w:spacing w:before="60" w:after="60"/>
        <w:rPr>
          <w:lang w:val="en-US"/>
        </w:rPr>
      </w:pPr>
      <w:r w:rsidRPr="0096488C">
        <w:rPr>
          <w:lang w:val="en-US"/>
        </w:rPr>
        <w:t>2.</w:t>
      </w:r>
      <w:r w:rsidR="00377DF3" w:rsidRPr="0096488C">
        <w:rPr>
          <w:lang w:val="en-US"/>
        </w:rPr>
        <w:t xml:space="preserve">3. Chương III </w:t>
      </w:r>
      <w:r w:rsidR="005F5961" w:rsidRPr="0096488C">
        <w:rPr>
          <w:lang w:val="en-US"/>
        </w:rPr>
        <w:t>về</w:t>
      </w:r>
      <w:r w:rsidR="00AF3533" w:rsidRPr="0096488C">
        <w:rPr>
          <w:lang w:val="en-US"/>
        </w:rPr>
        <w:t xml:space="preserve"> </w:t>
      </w:r>
      <w:r w:rsidR="00694BD0" w:rsidRPr="0096488C">
        <w:rPr>
          <w:lang w:val="en-US"/>
        </w:rPr>
        <w:t xml:space="preserve">Chính sách của Nhà nước về </w:t>
      </w:r>
      <w:r w:rsidR="001828BD" w:rsidRPr="0096488C">
        <w:rPr>
          <w:lang w:val="en-US"/>
        </w:rPr>
        <w:t xml:space="preserve">hỗ trợ </w:t>
      </w:r>
      <w:r w:rsidR="00694BD0" w:rsidRPr="0096488C">
        <w:rPr>
          <w:lang w:val="en-US"/>
        </w:rPr>
        <w:t xml:space="preserve">phát triển tổ hợp tác, </w:t>
      </w:r>
      <w:r w:rsidR="00746A03" w:rsidRPr="0096488C">
        <w:rPr>
          <w:lang w:val="en-US"/>
        </w:rPr>
        <w:t>HTX</w:t>
      </w:r>
      <w:r w:rsidR="00694BD0" w:rsidRPr="0096488C">
        <w:rPr>
          <w:lang w:val="en-US"/>
        </w:rPr>
        <w:t xml:space="preserve">, liên hiệp </w:t>
      </w:r>
      <w:r w:rsidR="00746A03" w:rsidRPr="0096488C">
        <w:rPr>
          <w:lang w:val="en-US"/>
        </w:rPr>
        <w:t>HTX</w:t>
      </w:r>
    </w:p>
    <w:p w14:paraId="2BF30074" w14:textId="2A9894A4" w:rsidR="00137377" w:rsidRPr="0096488C" w:rsidRDefault="00A72597" w:rsidP="0096488C">
      <w:pPr>
        <w:spacing w:before="60" w:after="60" w:line="264" w:lineRule="auto"/>
        <w:ind w:firstLine="567"/>
        <w:jc w:val="both"/>
      </w:pPr>
      <w:r w:rsidRPr="0096488C">
        <w:t>Chương này</w:t>
      </w:r>
      <w:r w:rsidR="003946C0" w:rsidRPr="0096488C">
        <w:t xml:space="preserve"> </w:t>
      </w:r>
      <w:r w:rsidR="00315F11" w:rsidRPr="0096488C">
        <w:t>quy định chi tiết</w:t>
      </w:r>
      <w:r w:rsidR="00E61827" w:rsidRPr="0096488C">
        <w:t xml:space="preserve"> </w:t>
      </w:r>
      <w:r w:rsidR="00124041" w:rsidRPr="0096488C">
        <w:t xml:space="preserve">về tiêu chí </w:t>
      </w:r>
      <w:r w:rsidR="001D174C" w:rsidRPr="0096488C">
        <w:t>xem xét lựa chọn</w:t>
      </w:r>
      <w:r w:rsidR="00D11E36" w:rsidRPr="0096488C">
        <w:t xml:space="preserve"> đối tượng </w:t>
      </w:r>
      <w:r w:rsidR="001828BD" w:rsidRPr="0096488C">
        <w:t xml:space="preserve">thụ </w:t>
      </w:r>
      <w:r w:rsidR="00D11E36" w:rsidRPr="0096488C">
        <w:t>hưở</w:t>
      </w:r>
      <w:r w:rsidR="001D174C" w:rsidRPr="0096488C">
        <w:t>ng</w:t>
      </w:r>
      <w:r w:rsidR="00DA1849" w:rsidRPr="0096488C">
        <w:t xml:space="preserve"> chính sách</w:t>
      </w:r>
      <w:r w:rsidR="001D174C" w:rsidRPr="0096488C">
        <w:t xml:space="preserve">, các </w:t>
      </w:r>
      <w:r w:rsidR="00124041" w:rsidRPr="0096488C">
        <w:t>nội dung</w:t>
      </w:r>
      <w:r w:rsidR="00DA1849" w:rsidRPr="0096488C">
        <w:t>, đối tượng hỗ trợ</w:t>
      </w:r>
      <w:r w:rsidR="00F41F8D" w:rsidRPr="0096488C">
        <w:t xml:space="preserve">, </w:t>
      </w:r>
      <w:r w:rsidR="00776CB0" w:rsidRPr="0096488C">
        <w:t xml:space="preserve">kinh phí </w:t>
      </w:r>
      <w:r w:rsidR="00F41F8D" w:rsidRPr="0096488C">
        <w:t xml:space="preserve">hỗ trợ </w:t>
      </w:r>
      <w:r w:rsidR="00776CB0" w:rsidRPr="0096488C">
        <w:t xml:space="preserve">từ </w:t>
      </w:r>
      <w:r w:rsidR="002C4FFB" w:rsidRPr="0096488C">
        <w:t>NSNN</w:t>
      </w:r>
      <w:r w:rsidR="00F41F8D" w:rsidRPr="0096488C">
        <w:t>,</w:t>
      </w:r>
      <w:r w:rsidR="001D174C" w:rsidRPr="0096488C">
        <w:t xml:space="preserve"> quy trình, thủ tục</w:t>
      </w:r>
      <w:r w:rsidR="00CB3272" w:rsidRPr="0096488C">
        <w:t xml:space="preserve"> </w:t>
      </w:r>
      <w:r w:rsidR="007A490B" w:rsidRPr="0096488C">
        <w:t xml:space="preserve">thực hiện </w:t>
      </w:r>
      <w:r w:rsidR="00124041" w:rsidRPr="0096488C">
        <w:t>chính sách</w:t>
      </w:r>
      <w:r w:rsidR="007A490B" w:rsidRPr="0096488C">
        <w:t xml:space="preserve"> hỗ trợ</w:t>
      </w:r>
      <w:r w:rsidR="00124041" w:rsidRPr="0096488C">
        <w:t xml:space="preserve"> của Nhà nước cho tổ hợp tác, </w:t>
      </w:r>
      <w:r w:rsidR="00746A03" w:rsidRPr="0096488C">
        <w:t>HTX</w:t>
      </w:r>
      <w:r w:rsidR="00124041" w:rsidRPr="0096488C">
        <w:t xml:space="preserve">, liên hiệp </w:t>
      </w:r>
      <w:r w:rsidR="00746A03" w:rsidRPr="0096488C">
        <w:t>HTX</w:t>
      </w:r>
      <w:r w:rsidR="005A4A5A" w:rsidRPr="0096488C">
        <w:t>.</w:t>
      </w:r>
    </w:p>
    <w:p w14:paraId="36DBF4AD" w14:textId="056456A5" w:rsidR="00814010" w:rsidRPr="0096488C" w:rsidRDefault="00814010" w:rsidP="0096488C">
      <w:pPr>
        <w:spacing w:before="60" w:after="60" w:line="264" w:lineRule="auto"/>
        <w:ind w:firstLine="567"/>
        <w:jc w:val="both"/>
      </w:pPr>
      <w:r w:rsidRPr="0096488C">
        <w:t>Từ thực tiễn triển khai các chính sách hỗ trợ của Nhà nước hiện nay đối với các tổ chức kinh tế tập thể, bám sát các quy định của Luật HTX năm 2023, dự thảo Nghị định quy định cụ thể như sau:</w:t>
      </w:r>
    </w:p>
    <w:p w14:paraId="2465243B" w14:textId="32053D18" w:rsidR="00E61827" w:rsidRPr="0096488C" w:rsidRDefault="000D6878" w:rsidP="0096488C">
      <w:pPr>
        <w:pStyle w:val="Heading5"/>
        <w:spacing w:before="60" w:after="60" w:line="264" w:lineRule="auto"/>
      </w:pPr>
      <w:r w:rsidRPr="0096488C">
        <w:t>2.</w:t>
      </w:r>
      <w:r w:rsidR="00CB3272" w:rsidRPr="0096488C">
        <w:t>3</w:t>
      </w:r>
      <w:r w:rsidR="009C74A4" w:rsidRPr="0096488C">
        <w:t xml:space="preserve">.1. </w:t>
      </w:r>
      <w:r w:rsidR="006B181B" w:rsidRPr="0096488C">
        <w:t xml:space="preserve">Về tiêu chí để </w:t>
      </w:r>
      <w:r w:rsidR="00B478EC" w:rsidRPr="0096488C">
        <w:t xml:space="preserve">tổ hợp tác, </w:t>
      </w:r>
      <w:r w:rsidR="006B181B" w:rsidRPr="0096488C">
        <w:t>HTX</w:t>
      </w:r>
      <w:r w:rsidR="00B478EC" w:rsidRPr="0096488C">
        <w:t>, liên hiệp HTX</w:t>
      </w:r>
      <w:r w:rsidR="006B181B" w:rsidRPr="0096488C">
        <w:t xml:space="preserve"> được xem xét thụ hưởng chính sách hỗ trợ của Nhà nước (Điều 6 dự thảo Nghị định)</w:t>
      </w:r>
    </w:p>
    <w:p w14:paraId="572BA6DA" w14:textId="1943939A" w:rsidR="00566925" w:rsidRPr="0096488C" w:rsidRDefault="00124041" w:rsidP="0096488C">
      <w:pPr>
        <w:spacing w:before="60" w:after="60" w:line="264" w:lineRule="auto"/>
        <w:ind w:firstLine="720"/>
        <w:jc w:val="both"/>
        <w:rPr>
          <w:rFonts w:cs="Times New Roman"/>
          <w:szCs w:val="28"/>
        </w:rPr>
      </w:pPr>
      <w:r w:rsidRPr="0096488C">
        <w:rPr>
          <w:rFonts w:cs="Times New Roman"/>
          <w:szCs w:val="28"/>
        </w:rPr>
        <w:t xml:space="preserve">Để </w:t>
      </w:r>
      <w:r w:rsidR="00FF4D86" w:rsidRPr="0096488C">
        <w:rPr>
          <w:rFonts w:cs="Times New Roman"/>
          <w:szCs w:val="28"/>
        </w:rPr>
        <w:t>bảo đảm việc thực hiện chính sách hỗ trợ của Nhà nước có trọng tâm, trọng điểm</w:t>
      </w:r>
      <w:r w:rsidR="006633E5" w:rsidRPr="0096488C">
        <w:rPr>
          <w:rFonts w:cs="Times New Roman"/>
          <w:szCs w:val="28"/>
        </w:rPr>
        <w:t>,</w:t>
      </w:r>
      <w:r w:rsidR="00FF4D86" w:rsidRPr="0096488C">
        <w:rPr>
          <w:rFonts w:cs="Times New Roman"/>
          <w:szCs w:val="28"/>
        </w:rPr>
        <w:t xml:space="preserve"> </w:t>
      </w:r>
      <w:r w:rsidR="006633E5" w:rsidRPr="0096488C">
        <w:rPr>
          <w:rFonts w:cs="Times New Roman"/>
          <w:szCs w:val="28"/>
        </w:rPr>
        <w:t xml:space="preserve">phát huy đặc trưng, giá trị tốt đẹp của mô hình HTX, </w:t>
      </w:r>
      <w:r w:rsidRPr="0096488C">
        <w:rPr>
          <w:rFonts w:cs="Times New Roman"/>
          <w:szCs w:val="28"/>
        </w:rPr>
        <w:t xml:space="preserve">phòng tránh việc thành lập tổ </w:t>
      </w:r>
      <w:r w:rsidR="00D65729" w:rsidRPr="0096488C">
        <w:rPr>
          <w:rFonts w:cs="Times New Roman"/>
          <w:szCs w:val="28"/>
        </w:rPr>
        <w:t xml:space="preserve">hợp tác, </w:t>
      </w:r>
      <w:r w:rsidR="00746A03" w:rsidRPr="0096488C">
        <w:rPr>
          <w:rFonts w:cs="Times New Roman"/>
          <w:szCs w:val="28"/>
        </w:rPr>
        <w:t>HTX</w:t>
      </w:r>
      <w:r w:rsidR="00D65729" w:rsidRPr="0096488C">
        <w:rPr>
          <w:rFonts w:cs="Times New Roman"/>
          <w:szCs w:val="28"/>
        </w:rPr>
        <w:t xml:space="preserve">, liên hiệp </w:t>
      </w:r>
      <w:r w:rsidR="00746A03" w:rsidRPr="0096488C">
        <w:rPr>
          <w:rFonts w:cs="Times New Roman"/>
          <w:szCs w:val="28"/>
        </w:rPr>
        <w:t>HTX</w:t>
      </w:r>
      <w:r w:rsidR="00D65729" w:rsidRPr="0096488C">
        <w:rPr>
          <w:rFonts w:cs="Times New Roman"/>
          <w:szCs w:val="28"/>
        </w:rPr>
        <w:t xml:space="preserve"> </w:t>
      </w:r>
      <w:r w:rsidR="00B3201B" w:rsidRPr="0096488C">
        <w:rPr>
          <w:rFonts w:cs="Times New Roman"/>
          <w:szCs w:val="28"/>
        </w:rPr>
        <w:t>hoạt động trá hình,</w:t>
      </w:r>
      <w:r w:rsidR="00D65729" w:rsidRPr="0096488C">
        <w:rPr>
          <w:rFonts w:cs="Times New Roman"/>
          <w:szCs w:val="28"/>
        </w:rPr>
        <w:t xml:space="preserve"> </w:t>
      </w:r>
      <w:r w:rsidRPr="0096488C">
        <w:rPr>
          <w:rFonts w:cs="Times New Roman"/>
          <w:szCs w:val="28"/>
        </w:rPr>
        <w:t>trục lợi</w:t>
      </w:r>
      <w:r w:rsidR="00B3201B" w:rsidRPr="0096488C">
        <w:rPr>
          <w:rFonts w:cs="Times New Roman"/>
          <w:szCs w:val="28"/>
        </w:rPr>
        <w:t xml:space="preserve"> chính sách </w:t>
      </w:r>
      <w:r w:rsidR="00D65729" w:rsidRPr="0096488C">
        <w:rPr>
          <w:rFonts w:cs="Times New Roman"/>
          <w:szCs w:val="28"/>
        </w:rPr>
        <w:t xml:space="preserve">và </w:t>
      </w:r>
      <w:r w:rsidR="00FE1188" w:rsidRPr="0096488C">
        <w:rPr>
          <w:rFonts w:cs="Times New Roman"/>
          <w:szCs w:val="28"/>
        </w:rPr>
        <w:t xml:space="preserve">để </w:t>
      </w:r>
      <w:r w:rsidR="00EC2337" w:rsidRPr="0096488C">
        <w:rPr>
          <w:rFonts w:cs="Times New Roman"/>
          <w:szCs w:val="28"/>
          <w:lang w:val="pt-BR"/>
        </w:rPr>
        <w:t xml:space="preserve">phù hợp với điều kiện thực tế </w:t>
      </w:r>
      <w:r w:rsidR="00343F15" w:rsidRPr="0096488C">
        <w:rPr>
          <w:rFonts w:cs="Times New Roman"/>
          <w:szCs w:val="28"/>
          <w:lang w:val="pt-BR"/>
        </w:rPr>
        <w:t xml:space="preserve">còn nhiều khó khăn </w:t>
      </w:r>
      <w:r w:rsidR="00EC2337" w:rsidRPr="0096488C">
        <w:rPr>
          <w:rFonts w:cs="Times New Roman"/>
          <w:szCs w:val="28"/>
          <w:lang w:val="pt-BR"/>
        </w:rPr>
        <w:t>của các tổ chức kinh tế tập thể</w:t>
      </w:r>
      <w:r w:rsidR="00FE1188" w:rsidRPr="0096488C">
        <w:rPr>
          <w:rFonts w:cs="Times New Roman"/>
          <w:szCs w:val="28"/>
          <w:lang w:val="pt-BR"/>
        </w:rPr>
        <w:t>, các tiêu chí</w:t>
      </w:r>
      <w:r w:rsidR="00EC2337" w:rsidRPr="0096488C">
        <w:rPr>
          <w:rFonts w:cs="Times New Roman"/>
          <w:szCs w:val="28"/>
          <w:lang w:val="pt-BR"/>
        </w:rPr>
        <w:t xml:space="preserve"> có thể lượng hóa, đánh giá, giám sát được, </w:t>
      </w:r>
      <w:r w:rsidR="00B3201B" w:rsidRPr="0096488C">
        <w:rPr>
          <w:rFonts w:cs="Times New Roman"/>
          <w:szCs w:val="28"/>
        </w:rPr>
        <w:t xml:space="preserve">dự thảo Nghị định quy định chi tiết các tiêu chí để xem xét, lựa chọn, đánh giá các tổ hợp tác, </w:t>
      </w:r>
      <w:r w:rsidR="00746A03" w:rsidRPr="0096488C">
        <w:rPr>
          <w:rFonts w:cs="Times New Roman"/>
          <w:szCs w:val="28"/>
        </w:rPr>
        <w:t>HTX</w:t>
      </w:r>
      <w:r w:rsidR="00B3201B" w:rsidRPr="0096488C">
        <w:rPr>
          <w:rFonts w:cs="Times New Roman"/>
          <w:szCs w:val="28"/>
        </w:rPr>
        <w:t xml:space="preserve">, liên hiệp </w:t>
      </w:r>
      <w:r w:rsidR="00746A03" w:rsidRPr="0096488C">
        <w:rPr>
          <w:rFonts w:cs="Times New Roman"/>
          <w:szCs w:val="28"/>
        </w:rPr>
        <w:t>HTX</w:t>
      </w:r>
      <w:r w:rsidR="00B3201B" w:rsidRPr="0096488C">
        <w:rPr>
          <w:rFonts w:cs="Times New Roman"/>
          <w:szCs w:val="28"/>
        </w:rPr>
        <w:t xml:space="preserve"> đ</w:t>
      </w:r>
      <w:r w:rsidR="00A656FB" w:rsidRPr="0096488C">
        <w:rPr>
          <w:rFonts w:cs="Times New Roman"/>
          <w:szCs w:val="28"/>
        </w:rPr>
        <w:t>ủ điều kiện</w:t>
      </w:r>
      <w:r w:rsidR="00B3201B" w:rsidRPr="0096488C">
        <w:rPr>
          <w:rFonts w:cs="Times New Roman"/>
          <w:szCs w:val="28"/>
        </w:rPr>
        <w:t xml:space="preserve"> </w:t>
      </w:r>
      <w:r w:rsidR="00E53707" w:rsidRPr="0096488C">
        <w:rPr>
          <w:rFonts w:cs="Times New Roman"/>
          <w:szCs w:val="28"/>
        </w:rPr>
        <w:t>xem xét</w:t>
      </w:r>
      <w:r w:rsidR="00B3201B" w:rsidRPr="0096488C">
        <w:rPr>
          <w:rFonts w:cs="Times New Roman"/>
          <w:szCs w:val="28"/>
        </w:rPr>
        <w:t xml:space="preserve"> hỗ trợ</w:t>
      </w:r>
      <w:r w:rsidR="00791033" w:rsidRPr="0096488C">
        <w:rPr>
          <w:rFonts w:cs="Times New Roman"/>
          <w:szCs w:val="28"/>
        </w:rPr>
        <w:t xml:space="preserve"> tại Điều </w:t>
      </w:r>
      <w:r w:rsidR="00CB3272" w:rsidRPr="0096488C">
        <w:rPr>
          <w:rFonts w:cs="Times New Roman"/>
          <w:szCs w:val="28"/>
        </w:rPr>
        <w:t>6</w:t>
      </w:r>
      <w:r w:rsidR="001D174C" w:rsidRPr="0096488C">
        <w:rPr>
          <w:rFonts w:cs="Times New Roman"/>
          <w:szCs w:val="28"/>
        </w:rPr>
        <w:t>, cụ thể</w:t>
      </w:r>
      <w:r w:rsidR="00B3201B" w:rsidRPr="0096488C">
        <w:rPr>
          <w:rFonts w:cs="Times New Roman"/>
          <w:szCs w:val="28"/>
        </w:rPr>
        <w:t>:</w:t>
      </w:r>
    </w:p>
    <w:p w14:paraId="552B3214" w14:textId="47C0DFFE" w:rsidR="00EC2337" w:rsidRPr="0096488C" w:rsidRDefault="00EC2337" w:rsidP="0096488C">
      <w:pPr>
        <w:pStyle w:val="Noidung"/>
        <w:widowControl w:val="0"/>
        <w:spacing w:before="60" w:after="60" w:line="264" w:lineRule="auto"/>
        <w:rPr>
          <w:szCs w:val="28"/>
        </w:rPr>
      </w:pPr>
      <w:r w:rsidRPr="0096488C">
        <w:rPr>
          <w:szCs w:val="28"/>
          <w:lang w:val="pt-BR"/>
        </w:rPr>
        <w:t>- HTX, liên hiệp HTX</w:t>
      </w:r>
      <w:r w:rsidR="008717E6" w:rsidRPr="0096488C">
        <w:rPr>
          <w:szCs w:val="28"/>
          <w:lang w:val="pt-BR"/>
        </w:rPr>
        <w:t>, tổ hợp tác</w:t>
      </w:r>
      <w:r w:rsidRPr="0096488C">
        <w:rPr>
          <w:szCs w:val="28"/>
          <w:lang w:val="pt-BR"/>
        </w:rPr>
        <w:t xml:space="preserve"> không vi phạm pháp luật về HTX, </w:t>
      </w:r>
      <w:r w:rsidRPr="0096488C">
        <w:rPr>
          <w:szCs w:val="28"/>
        </w:rPr>
        <w:t xml:space="preserve">không trong thời gian chấp hành bản án hình sự của Tòa án đã có hiệu lực pháp luật </w:t>
      </w:r>
      <w:r w:rsidR="00160F5D" w:rsidRPr="0096488C">
        <w:rPr>
          <w:szCs w:val="28"/>
        </w:rPr>
        <w:t>theo quy định tại Điều 18 Luật HTX</w:t>
      </w:r>
      <w:r w:rsidR="008717E6" w:rsidRPr="0096488C">
        <w:rPr>
          <w:szCs w:val="28"/>
        </w:rPr>
        <w:t xml:space="preserve"> tương ứng tại điểm a khoản 1, điểm a khoản 2 Điều 6 dự thảo Nghị định</w:t>
      </w:r>
      <w:r w:rsidRPr="0096488C">
        <w:rPr>
          <w:szCs w:val="28"/>
        </w:rPr>
        <w:t>.</w:t>
      </w:r>
      <w:r w:rsidR="00160F5D" w:rsidRPr="0096488C">
        <w:rPr>
          <w:szCs w:val="28"/>
        </w:rPr>
        <w:t xml:space="preserve"> Khi nộp đơn đăng ký nhu cầu hỗ trợ (Phụ lục ban hành kèm theo Nghị định) tổ </w:t>
      </w:r>
      <w:r w:rsidR="00160F5D" w:rsidRPr="0096488C">
        <w:rPr>
          <w:szCs w:val="28"/>
          <w:lang w:val="pt-BR"/>
        </w:rPr>
        <w:t>hợp tác, HTX, liên hiệp HTX phải cam kết về việc này.</w:t>
      </w:r>
    </w:p>
    <w:p w14:paraId="6AF4FB44" w14:textId="2BEAF758" w:rsidR="00051A19" w:rsidRPr="0096488C" w:rsidRDefault="00EC2337" w:rsidP="0096488C">
      <w:pPr>
        <w:pStyle w:val="Noidung"/>
        <w:widowControl w:val="0"/>
        <w:spacing w:before="60" w:after="60" w:line="264" w:lineRule="auto"/>
        <w:rPr>
          <w:szCs w:val="28"/>
          <w:lang w:val="de-DE"/>
        </w:rPr>
      </w:pPr>
      <w:r w:rsidRPr="0096488C">
        <w:rPr>
          <w:szCs w:val="28"/>
        </w:rPr>
        <w:t xml:space="preserve">- Quy định rõ việc đáp ứng </w:t>
      </w:r>
      <w:r w:rsidR="00A656FB" w:rsidRPr="0096488C">
        <w:rPr>
          <w:szCs w:val="28"/>
        </w:rPr>
        <w:t xml:space="preserve">ít nhất </w:t>
      </w:r>
      <w:r w:rsidRPr="0096488C">
        <w:rPr>
          <w:szCs w:val="28"/>
        </w:rPr>
        <w:t>một trong các tiêu chí bắt buộc đối với HTX, liên hiệp HTX</w:t>
      </w:r>
      <w:r w:rsidR="006233D0" w:rsidRPr="0096488C">
        <w:rPr>
          <w:szCs w:val="28"/>
        </w:rPr>
        <w:t xml:space="preserve"> tại thời điểm nộp đơn đề nghị hỗ trợ </w:t>
      </w:r>
      <w:r w:rsidRPr="0096488C">
        <w:rPr>
          <w:szCs w:val="28"/>
        </w:rPr>
        <w:t xml:space="preserve"> tại điểm </w:t>
      </w:r>
      <w:r w:rsidR="005F0CCA" w:rsidRPr="0096488C">
        <w:rPr>
          <w:szCs w:val="28"/>
        </w:rPr>
        <w:t>c</w:t>
      </w:r>
      <w:r w:rsidRPr="0096488C">
        <w:rPr>
          <w:szCs w:val="28"/>
        </w:rPr>
        <w:t xml:space="preserve"> khoản 1 Điều </w:t>
      </w:r>
      <w:r w:rsidR="00CB3272" w:rsidRPr="0096488C">
        <w:rPr>
          <w:szCs w:val="28"/>
        </w:rPr>
        <w:t>6</w:t>
      </w:r>
      <w:r w:rsidRPr="0096488C">
        <w:rPr>
          <w:szCs w:val="28"/>
        </w:rPr>
        <w:t xml:space="preserve"> của dự thảo Nghị định: </w:t>
      </w:r>
      <w:r w:rsidR="000A5282" w:rsidRPr="0096488C">
        <w:rPr>
          <w:szCs w:val="28"/>
          <w:lang w:val="de-DE"/>
        </w:rPr>
        <w:t>c</w:t>
      </w:r>
      <w:r w:rsidR="00D6061E" w:rsidRPr="0096488C">
        <w:rPr>
          <w:szCs w:val="28"/>
          <w:lang w:val="de-DE"/>
        </w:rPr>
        <w:t>ó</w:t>
      </w:r>
      <w:r w:rsidRPr="0096488C">
        <w:rPr>
          <w:szCs w:val="28"/>
          <w:lang w:val="de-DE"/>
        </w:rPr>
        <w:t xml:space="preserve"> tăng trưởng số lượng thành viên </w:t>
      </w:r>
      <w:bookmarkStart w:id="3" w:name="_Hlk158113622"/>
      <w:r w:rsidRPr="0096488C">
        <w:rPr>
          <w:szCs w:val="28"/>
          <w:lang w:val="de-DE"/>
        </w:rPr>
        <w:t>trong</w:t>
      </w:r>
      <w:r w:rsidR="006233D0" w:rsidRPr="0096488C">
        <w:rPr>
          <w:szCs w:val="28"/>
          <w:lang w:val="de-DE"/>
        </w:rPr>
        <w:t xml:space="preserve"> 2 </w:t>
      </w:r>
      <w:r w:rsidRPr="0096488C">
        <w:rPr>
          <w:szCs w:val="28"/>
          <w:lang w:val="de-DE"/>
        </w:rPr>
        <w:t xml:space="preserve">năm </w:t>
      </w:r>
      <w:r w:rsidR="006233D0" w:rsidRPr="0096488C">
        <w:rPr>
          <w:szCs w:val="28"/>
          <w:lang w:val="de-DE"/>
        </w:rPr>
        <w:t xml:space="preserve">liên tiếp </w:t>
      </w:r>
      <w:bookmarkEnd w:id="3"/>
      <w:r w:rsidRPr="0096488C">
        <w:rPr>
          <w:szCs w:val="28"/>
          <w:lang w:val="de-DE"/>
        </w:rPr>
        <w:t xml:space="preserve">liền kề; </w:t>
      </w:r>
      <w:r w:rsidR="000A5282" w:rsidRPr="0096488C">
        <w:rPr>
          <w:szCs w:val="28"/>
          <w:lang w:val="de-DE"/>
        </w:rPr>
        <w:t>t</w:t>
      </w:r>
      <w:r w:rsidRPr="0096488C">
        <w:rPr>
          <w:szCs w:val="28"/>
          <w:lang w:val="de-DE"/>
        </w:rPr>
        <w:t>ỷ lệ giá trị giao dịch nội bộ tăng trong năm</w:t>
      </w:r>
      <w:r w:rsidR="00913B53" w:rsidRPr="0096488C">
        <w:rPr>
          <w:szCs w:val="28"/>
          <w:lang w:val="de-DE"/>
        </w:rPr>
        <w:t xml:space="preserve"> trước</w:t>
      </w:r>
      <w:r w:rsidRPr="0096488C">
        <w:rPr>
          <w:szCs w:val="28"/>
          <w:lang w:val="de-DE"/>
        </w:rPr>
        <w:t xml:space="preserve"> liền kề; </w:t>
      </w:r>
      <w:r w:rsidR="000A5282" w:rsidRPr="0096488C">
        <w:rPr>
          <w:szCs w:val="28"/>
          <w:lang w:val="de-DE"/>
        </w:rPr>
        <w:t>t</w:t>
      </w:r>
      <w:r w:rsidRPr="0096488C">
        <w:rPr>
          <w:szCs w:val="28"/>
          <w:lang w:val="de-DE"/>
        </w:rPr>
        <w:t xml:space="preserve">ỷ lệ trích lập quỹ chung không chia cao hơn so với mức tối thiểu quy định tại Điều 83 Luật HTX hoặc phát triển tài sản chung không chia trong năm </w:t>
      </w:r>
      <w:r w:rsidR="00913B53" w:rsidRPr="0096488C">
        <w:rPr>
          <w:szCs w:val="28"/>
          <w:lang w:val="de-DE"/>
        </w:rPr>
        <w:t>trước</w:t>
      </w:r>
      <w:r w:rsidRPr="0096488C">
        <w:rPr>
          <w:szCs w:val="28"/>
          <w:lang w:val="de-DE"/>
        </w:rPr>
        <w:t xml:space="preserve"> liền kề; </w:t>
      </w:r>
      <w:r w:rsidR="00363D22" w:rsidRPr="0096488C">
        <w:rPr>
          <w:szCs w:val="28"/>
          <w:lang w:val="de-DE"/>
        </w:rPr>
        <w:t>í</w:t>
      </w:r>
      <w:r w:rsidRPr="0096488C">
        <w:rPr>
          <w:szCs w:val="28"/>
          <w:lang w:val="de-DE"/>
        </w:rPr>
        <w:t xml:space="preserve">t nhất </w:t>
      </w:r>
      <w:r w:rsidR="00D6061E" w:rsidRPr="0096488C">
        <w:rPr>
          <w:szCs w:val="28"/>
          <w:lang w:val="de-DE"/>
        </w:rPr>
        <w:t>5</w:t>
      </w:r>
      <w:r w:rsidRPr="0096488C">
        <w:rPr>
          <w:szCs w:val="28"/>
          <w:lang w:val="de-DE"/>
        </w:rPr>
        <w:t xml:space="preserve">% tổng số thành viên, người lao động được tham gia các lớp giáo dục, đào tạo, phổ biến, bồi dưỡng, tập huấn do </w:t>
      </w:r>
      <w:r w:rsidR="00C54D58" w:rsidRPr="0096488C">
        <w:rPr>
          <w:szCs w:val="28"/>
          <w:lang w:val="de-DE"/>
        </w:rPr>
        <w:t>HTX</w:t>
      </w:r>
      <w:r w:rsidRPr="0096488C">
        <w:rPr>
          <w:szCs w:val="28"/>
          <w:lang w:val="de-DE"/>
        </w:rPr>
        <w:t>, liên hiệp hợp tác tự tổ chức hoặc do các cơ quan, đoàn thể, tổ chức khác tổ chức tính đến thời điểm đề nghị hỗ trợ</w:t>
      </w:r>
      <w:r w:rsidR="006233D0" w:rsidRPr="0096488C">
        <w:rPr>
          <w:szCs w:val="28"/>
          <w:lang w:val="de-DE"/>
        </w:rPr>
        <w:t xml:space="preserve"> và đã được cấp chứng nhận tham gia khóa học hoặc có danh sách thành viên, người lao động tham gia khóa học có đóng dấu của hợp tác xã, liên hiệp hợp tác xã (đối với các </w:t>
      </w:r>
      <w:r w:rsidR="006233D0" w:rsidRPr="0096488C">
        <w:rPr>
          <w:szCs w:val="28"/>
          <w:lang w:val="de-DE"/>
        </w:rPr>
        <w:lastRenderedPageBreak/>
        <w:t>khóa học do hợp tác xã, liên hiệp hợp tác xã tự tổ chức, thì hợp tác xã, liên hiệp hợp tác xã phải có kế hoạch tổ chức khóa học, nội dung khóa học và danh sách khóa học có chữ ký của người tham gia khóa học để chứng minh việc tổ chức các khóa học này)</w:t>
      </w:r>
      <w:r w:rsidR="00A656FB" w:rsidRPr="0096488C">
        <w:rPr>
          <w:szCs w:val="28"/>
          <w:lang w:val="de-DE"/>
        </w:rPr>
        <w:t xml:space="preserve">; </w:t>
      </w:r>
      <w:r w:rsidR="005E1682" w:rsidRPr="0096488C">
        <w:rPr>
          <w:szCs w:val="28"/>
          <w:lang w:val="de-DE"/>
        </w:rPr>
        <w:t xml:space="preserve">đã </w:t>
      </w:r>
      <w:r w:rsidR="00A656FB" w:rsidRPr="0096488C">
        <w:rPr>
          <w:szCs w:val="28"/>
          <w:lang w:val="de-DE"/>
        </w:rPr>
        <w:t>thành lập không quá 36 tháng tại địa bàn kinh tế - xã hội khó khăn, địa bàn kinh tế - xã hội đặc biệt khó khăn.</w:t>
      </w:r>
    </w:p>
    <w:p w14:paraId="70075AA4" w14:textId="4C865B43" w:rsidR="00EC2337" w:rsidRPr="0096488C" w:rsidRDefault="00051A19" w:rsidP="0096488C">
      <w:pPr>
        <w:pStyle w:val="Noidung"/>
        <w:widowControl w:val="0"/>
        <w:spacing w:before="60" w:after="60" w:line="264" w:lineRule="auto"/>
        <w:rPr>
          <w:szCs w:val="28"/>
          <w:lang w:val="de-DE"/>
        </w:rPr>
      </w:pPr>
      <w:r w:rsidRPr="0096488C">
        <w:rPr>
          <w:szCs w:val="28"/>
          <w:lang w:val="de-DE"/>
        </w:rPr>
        <w:t xml:space="preserve">- </w:t>
      </w:r>
      <w:r w:rsidR="00EC2337" w:rsidRPr="0096488C">
        <w:rPr>
          <w:szCs w:val="28"/>
        </w:rPr>
        <w:t>Quy định rõ việc đáp ứng</w:t>
      </w:r>
      <w:r w:rsidR="00B373DA" w:rsidRPr="0096488C">
        <w:rPr>
          <w:szCs w:val="28"/>
        </w:rPr>
        <w:t xml:space="preserve"> ít nhất một trong</w:t>
      </w:r>
      <w:r w:rsidR="00EC2337" w:rsidRPr="0096488C">
        <w:rPr>
          <w:szCs w:val="28"/>
        </w:rPr>
        <w:t xml:space="preserve"> các tiêu chí bắt buộc đối với tổ hợp tác tại </w:t>
      </w:r>
      <w:r w:rsidR="00B373DA" w:rsidRPr="0096488C">
        <w:rPr>
          <w:szCs w:val="28"/>
        </w:rPr>
        <w:t xml:space="preserve">điểm </w:t>
      </w:r>
      <w:r w:rsidR="008717E6" w:rsidRPr="0096488C">
        <w:rPr>
          <w:szCs w:val="28"/>
        </w:rPr>
        <w:t>b</w:t>
      </w:r>
      <w:r w:rsidR="00B373DA" w:rsidRPr="0096488C">
        <w:rPr>
          <w:szCs w:val="28"/>
        </w:rPr>
        <w:t xml:space="preserve"> k</w:t>
      </w:r>
      <w:r w:rsidR="00EC2337" w:rsidRPr="0096488C">
        <w:rPr>
          <w:szCs w:val="28"/>
        </w:rPr>
        <w:t xml:space="preserve">hoản 2 Điều </w:t>
      </w:r>
      <w:r w:rsidR="00CB3272" w:rsidRPr="0096488C">
        <w:rPr>
          <w:szCs w:val="28"/>
        </w:rPr>
        <w:t>6</w:t>
      </w:r>
      <w:r w:rsidR="00EC2337" w:rsidRPr="0096488C">
        <w:rPr>
          <w:szCs w:val="28"/>
        </w:rPr>
        <w:t xml:space="preserve"> của dự thảo Nghị định:</w:t>
      </w:r>
      <w:r w:rsidR="00913B53" w:rsidRPr="0096488C">
        <w:rPr>
          <w:szCs w:val="28"/>
        </w:rPr>
        <w:t xml:space="preserve"> </w:t>
      </w:r>
      <w:r w:rsidR="00042C3B" w:rsidRPr="0096488C">
        <w:rPr>
          <w:szCs w:val="28"/>
        </w:rPr>
        <w:t>có</w:t>
      </w:r>
      <w:r w:rsidR="00EC2337" w:rsidRPr="0096488C">
        <w:rPr>
          <w:szCs w:val="28"/>
          <w:lang w:val="de-DE"/>
        </w:rPr>
        <w:t xml:space="preserve"> số lượng thành viên </w:t>
      </w:r>
      <w:r w:rsidR="00035423" w:rsidRPr="0096488C">
        <w:rPr>
          <w:szCs w:val="28"/>
          <w:lang w:val="de-DE"/>
        </w:rPr>
        <w:t>tăng</w:t>
      </w:r>
      <w:r w:rsidR="00EC2337" w:rsidRPr="0096488C">
        <w:rPr>
          <w:szCs w:val="28"/>
          <w:lang w:val="de-DE"/>
        </w:rPr>
        <w:t xml:space="preserve"> </w:t>
      </w:r>
      <w:r w:rsidR="005E1682" w:rsidRPr="0096488C">
        <w:rPr>
          <w:szCs w:val="28"/>
          <w:lang w:val="de-DE"/>
        </w:rPr>
        <w:t xml:space="preserve">trong 2 năm liên tiếp </w:t>
      </w:r>
      <w:r w:rsidR="00EC2337" w:rsidRPr="0096488C">
        <w:rPr>
          <w:szCs w:val="28"/>
          <w:lang w:val="de-DE"/>
        </w:rPr>
        <w:t xml:space="preserve">liền kề; </w:t>
      </w:r>
      <w:r w:rsidR="005F0CCA" w:rsidRPr="0096488C">
        <w:rPr>
          <w:szCs w:val="28"/>
          <w:lang w:val="de-DE"/>
        </w:rPr>
        <w:t>í</w:t>
      </w:r>
      <w:r w:rsidR="00EC2337" w:rsidRPr="0096488C">
        <w:rPr>
          <w:szCs w:val="28"/>
          <w:lang w:val="de-DE"/>
        </w:rPr>
        <w:t xml:space="preserve">t nhất 5% tổng số thành viên, người lao động được tham gia các lớp giáo dục, đào tạo, phổ biến, bồi dưỡng, tập huấn do tổ hợp tác tự tổ chức hoặc do các cơ quan, đoàn thể, tổ khác tổ chức </w:t>
      </w:r>
      <w:r w:rsidR="002D05E3" w:rsidRPr="0096488C">
        <w:rPr>
          <w:szCs w:val="28"/>
          <w:lang w:val="de-DE"/>
        </w:rPr>
        <w:t>tính đến thời điểm đề nghị hỗ trợ</w:t>
      </w:r>
      <w:r w:rsidR="005E1682" w:rsidRPr="0096488C">
        <w:rPr>
          <w:szCs w:val="28"/>
          <w:lang w:val="de-DE"/>
        </w:rPr>
        <w:t xml:space="preserve"> tương tự như đối với quy định của HTX, liên hiệp</w:t>
      </w:r>
      <w:r w:rsidR="00AB4058" w:rsidRPr="0096488C">
        <w:rPr>
          <w:szCs w:val="28"/>
          <w:lang w:val="de-DE"/>
        </w:rPr>
        <w:t xml:space="preserve"> HTX</w:t>
      </w:r>
      <w:r w:rsidR="00913B53" w:rsidRPr="0096488C">
        <w:rPr>
          <w:szCs w:val="28"/>
          <w:lang w:val="de-DE"/>
        </w:rPr>
        <w:t xml:space="preserve">; </w:t>
      </w:r>
      <w:r w:rsidR="0024585B" w:rsidRPr="0096488C">
        <w:rPr>
          <w:szCs w:val="28"/>
          <w:lang w:val="de-DE"/>
        </w:rPr>
        <w:t xml:space="preserve">đã </w:t>
      </w:r>
      <w:r w:rsidR="00913B53" w:rsidRPr="0096488C">
        <w:rPr>
          <w:szCs w:val="28"/>
          <w:lang w:val="de-DE"/>
        </w:rPr>
        <w:t>thành lập không quá 36 tháng tại địa bàn kinh tế - xã hội khó khăn, địa bàn kinh tế - xã hội đặc biệt khó khăn</w:t>
      </w:r>
      <w:r w:rsidR="00EC2337" w:rsidRPr="0096488C">
        <w:rPr>
          <w:szCs w:val="28"/>
          <w:lang w:val="de-DE"/>
        </w:rPr>
        <w:t>.</w:t>
      </w:r>
    </w:p>
    <w:p w14:paraId="5A69F9A7" w14:textId="6C37B9AD" w:rsidR="00EC2337" w:rsidRPr="0096488C" w:rsidRDefault="00EC2337" w:rsidP="0096488C">
      <w:pPr>
        <w:pStyle w:val="Noidung"/>
        <w:widowControl w:val="0"/>
        <w:spacing w:before="60" w:after="60" w:line="264" w:lineRule="auto"/>
        <w:rPr>
          <w:szCs w:val="28"/>
          <w:lang w:val="de-DE"/>
        </w:rPr>
      </w:pPr>
      <w:r w:rsidRPr="0096488C">
        <w:rPr>
          <w:szCs w:val="28"/>
          <w:lang w:val="de-DE"/>
        </w:rPr>
        <w:t>- Quy định rõ yêu cầu có báo cáo</w:t>
      </w:r>
      <w:r w:rsidR="008717E6" w:rsidRPr="0096488C">
        <w:rPr>
          <w:szCs w:val="28"/>
          <w:lang w:val="de-DE"/>
        </w:rPr>
        <w:t xml:space="preserve"> tài chính năm được</w:t>
      </w:r>
      <w:r w:rsidRPr="0096488C">
        <w:rPr>
          <w:szCs w:val="28"/>
          <w:lang w:val="de-DE"/>
        </w:rPr>
        <w:t xml:space="preserve"> kiểm toán </w:t>
      </w:r>
      <w:r w:rsidRPr="0096488C">
        <w:rPr>
          <w:b/>
          <w:i/>
          <w:szCs w:val="28"/>
          <w:lang w:val="de-DE"/>
        </w:rPr>
        <w:t>chỉ được áp dụng</w:t>
      </w:r>
      <w:r w:rsidRPr="0096488C">
        <w:rPr>
          <w:szCs w:val="28"/>
          <w:lang w:val="de-DE"/>
        </w:rPr>
        <w:t xml:space="preserve"> khi các HTX, liên hiệp HTX nhận khoản hỗ trợ </w:t>
      </w:r>
      <w:r w:rsidR="008F3264" w:rsidRPr="0096488C">
        <w:rPr>
          <w:szCs w:val="28"/>
          <w:lang w:val="de-DE"/>
        </w:rPr>
        <w:t xml:space="preserve">có giá trị từ </w:t>
      </w:r>
      <w:r w:rsidR="00697077" w:rsidRPr="0096488C">
        <w:rPr>
          <w:szCs w:val="28"/>
          <w:lang w:val="de-DE"/>
        </w:rPr>
        <w:t>3</w:t>
      </w:r>
      <w:r w:rsidR="008F3264" w:rsidRPr="0096488C">
        <w:rPr>
          <w:szCs w:val="28"/>
          <w:lang w:val="de-DE"/>
        </w:rPr>
        <w:t xml:space="preserve"> tỷ đồng trở lên từ nguồn</w:t>
      </w:r>
      <w:r w:rsidR="00B26717" w:rsidRPr="0096488C">
        <w:rPr>
          <w:szCs w:val="28"/>
          <w:lang w:val="de-DE"/>
        </w:rPr>
        <w:t xml:space="preserve"> kinh phí </w:t>
      </w:r>
      <w:r w:rsidR="002C4FFB" w:rsidRPr="0096488C">
        <w:rPr>
          <w:szCs w:val="28"/>
          <w:lang w:val="de-DE"/>
        </w:rPr>
        <w:t>NSNN</w:t>
      </w:r>
      <w:r w:rsidR="00B26717" w:rsidRPr="0096488C">
        <w:rPr>
          <w:szCs w:val="28"/>
          <w:lang w:val="de-DE"/>
        </w:rPr>
        <w:t xml:space="preserve"> </w:t>
      </w:r>
      <w:r w:rsidRPr="0096488C">
        <w:rPr>
          <w:szCs w:val="28"/>
          <w:lang w:val="de-DE"/>
        </w:rPr>
        <w:t xml:space="preserve">tại điểm </w:t>
      </w:r>
      <w:r w:rsidR="00E1545F" w:rsidRPr="0096488C">
        <w:rPr>
          <w:szCs w:val="28"/>
          <w:lang w:val="de-DE"/>
        </w:rPr>
        <w:t>c</w:t>
      </w:r>
      <w:r w:rsidRPr="0096488C">
        <w:rPr>
          <w:szCs w:val="28"/>
          <w:lang w:val="de-DE"/>
        </w:rPr>
        <w:t xml:space="preserve"> khoản 1 Điều </w:t>
      </w:r>
      <w:r w:rsidR="00CB3272" w:rsidRPr="0096488C">
        <w:rPr>
          <w:szCs w:val="28"/>
          <w:lang w:val="de-DE"/>
        </w:rPr>
        <w:t>6</w:t>
      </w:r>
      <w:r w:rsidRPr="0096488C">
        <w:rPr>
          <w:szCs w:val="28"/>
          <w:lang w:val="de-DE"/>
        </w:rPr>
        <w:t xml:space="preserve"> dự thảo Nghị định.</w:t>
      </w:r>
    </w:p>
    <w:p w14:paraId="133D410A" w14:textId="29EA59C1" w:rsidR="00071273" w:rsidRPr="0096488C" w:rsidRDefault="00EC2337" w:rsidP="0096488C">
      <w:pPr>
        <w:pStyle w:val="Noidung"/>
        <w:widowControl w:val="0"/>
        <w:spacing w:before="60" w:after="60" w:line="264" w:lineRule="auto"/>
        <w:rPr>
          <w:szCs w:val="28"/>
          <w:lang w:val="de-DE"/>
        </w:rPr>
      </w:pPr>
      <w:r w:rsidRPr="0096488C">
        <w:rPr>
          <w:szCs w:val="28"/>
          <w:lang w:val="de-DE"/>
        </w:rPr>
        <w:t xml:space="preserve">- </w:t>
      </w:r>
      <w:r w:rsidR="00CB3272" w:rsidRPr="0096488C">
        <w:rPr>
          <w:szCs w:val="28"/>
          <w:lang w:val="de-DE"/>
        </w:rPr>
        <w:t xml:space="preserve">Tiêu chí ưu tiên lựa chọn đối tượng hưởng chính sách theo quy định tại khoản 3 Điều 18 Luật Hợp tác xã </w:t>
      </w:r>
      <w:r w:rsidR="00CB3272" w:rsidRPr="0096488C">
        <w:rPr>
          <w:szCs w:val="28"/>
        </w:rPr>
        <w:t xml:space="preserve">do </w:t>
      </w:r>
      <w:r w:rsidR="00016C94" w:rsidRPr="0096488C">
        <w:rPr>
          <w:szCs w:val="28"/>
        </w:rPr>
        <w:t xml:space="preserve">bộ, cơ quan trung ương, </w:t>
      </w:r>
      <w:r w:rsidR="00016C94" w:rsidRPr="0096488C">
        <w:rPr>
          <w:lang w:val="de-DE"/>
        </w:rPr>
        <w:t>ủy ban nhân dân cấp tỉnh, ủy ban nhân dân cấp huyện</w:t>
      </w:r>
      <w:r w:rsidR="00CB3272" w:rsidRPr="0096488C">
        <w:rPr>
          <w:szCs w:val="28"/>
        </w:rPr>
        <w:t xml:space="preserve"> </w:t>
      </w:r>
      <w:r w:rsidR="00016C94" w:rsidRPr="0096488C">
        <w:rPr>
          <w:lang w:val="de-DE"/>
        </w:rPr>
        <w:t xml:space="preserve">ban hành thứ tự tiêu chí ưu tiên </w:t>
      </w:r>
      <w:r w:rsidR="00016C94" w:rsidRPr="0096488C">
        <w:rPr>
          <w:szCs w:val="28"/>
          <w:lang w:val="de-DE"/>
        </w:rPr>
        <w:t>lựa chọn đối tượng thụ hưởng chính sách</w:t>
      </w:r>
      <w:r w:rsidR="00016C94" w:rsidRPr="0096488C">
        <w:rPr>
          <w:lang w:val="de-DE"/>
        </w:rPr>
        <w:t xml:space="preserve"> </w:t>
      </w:r>
      <w:r w:rsidR="00CB3272" w:rsidRPr="0096488C">
        <w:rPr>
          <w:szCs w:val="28"/>
        </w:rPr>
        <w:t xml:space="preserve">phù hợp với định hướng ưu tiên và khả năng cân đối nguồn lực trong từng thời kỳ và phải được công bố công khai trên Cổng thông tin điện tử của </w:t>
      </w:r>
      <w:r w:rsidR="00016C94" w:rsidRPr="0096488C">
        <w:rPr>
          <w:szCs w:val="28"/>
        </w:rPr>
        <w:t>các cơ quan này</w:t>
      </w:r>
      <w:r w:rsidR="008C73F8" w:rsidRPr="0096488C">
        <w:rPr>
          <w:szCs w:val="28"/>
        </w:rPr>
        <w:t xml:space="preserve"> </w:t>
      </w:r>
      <w:r w:rsidR="00C1476C" w:rsidRPr="0096488C">
        <w:rPr>
          <w:szCs w:val="28"/>
        </w:rPr>
        <w:t>hoặc</w:t>
      </w:r>
      <w:r w:rsidR="008C73F8" w:rsidRPr="0096488C">
        <w:rPr>
          <w:szCs w:val="28"/>
        </w:rPr>
        <w:t xml:space="preserve"> Hệ thống thông tin quốc gia về HTX</w:t>
      </w:r>
      <w:r w:rsidR="00CB3272" w:rsidRPr="0096488C">
        <w:rPr>
          <w:szCs w:val="28"/>
        </w:rPr>
        <w:t>.</w:t>
      </w:r>
    </w:p>
    <w:p w14:paraId="4777F9A9" w14:textId="7FFC0EAF" w:rsidR="007938F5" w:rsidRPr="0096488C" w:rsidRDefault="000D6878" w:rsidP="0096488C">
      <w:pPr>
        <w:pStyle w:val="Heading5"/>
        <w:spacing w:before="60" w:after="60" w:line="264" w:lineRule="auto"/>
      </w:pPr>
      <w:r w:rsidRPr="0096488C">
        <w:t>2.</w:t>
      </w:r>
      <w:r w:rsidR="00CB3272" w:rsidRPr="0096488C">
        <w:t>3</w:t>
      </w:r>
      <w:r w:rsidR="00B36AFB" w:rsidRPr="0096488C">
        <w:t>.</w:t>
      </w:r>
      <w:r w:rsidR="00EA78C3" w:rsidRPr="0096488C">
        <w:t>2</w:t>
      </w:r>
      <w:r w:rsidR="00B36AFB" w:rsidRPr="0096488C">
        <w:t xml:space="preserve">. </w:t>
      </w:r>
      <w:r w:rsidR="006B181B" w:rsidRPr="0096488C">
        <w:t>Về đối tượng, nội dung, kinh phí hỗ trợ, quy trình, thủ tục thực hiện chính sách hỗ trợ từ NSNN (Điều từ 7 đến Điều 17 dự thảo Nghị định)</w:t>
      </w:r>
    </w:p>
    <w:p w14:paraId="5E67A340" w14:textId="79F1AD73" w:rsidR="00BA2AF4" w:rsidRPr="0096488C" w:rsidRDefault="00BA2AF4" w:rsidP="0096488C">
      <w:pPr>
        <w:spacing w:before="60" w:after="60" w:line="264" w:lineRule="auto"/>
        <w:ind w:firstLine="720"/>
        <w:jc w:val="both"/>
        <w:rPr>
          <w:rFonts w:cs="Times New Roman"/>
          <w:szCs w:val="28"/>
          <w:lang w:val="it-IT"/>
        </w:rPr>
      </w:pPr>
      <w:r w:rsidRPr="0096488C">
        <w:rPr>
          <w:rFonts w:cs="Times New Roman"/>
          <w:szCs w:val="28"/>
          <w:lang w:val="it-IT"/>
        </w:rPr>
        <w:t>Các chính sách được quy định chi tiết tại dự thảo Nghị định bám sát yêu cầu hướng dẫn được Luật giao, kế thừa các quy định chính sách hiện hành còn phù hợp</w:t>
      </w:r>
      <w:r w:rsidR="003E443B" w:rsidRPr="0096488C">
        <w:rPr>
          <w:rFonts w:cs="Times New Roman"/>
          <w:szCs w:val="28"/>
          <w:lang w:val="it-IT"/>
        </w:rPr>
        <w:t xml:space="preserve">, </w:t>
      </w:r>
      <w:r w:rsidR="00A94B36" w:rsidRPr="0096488C">
        <w:rPr>
          <w:rFonts w:cs="Times New Roman"/>
          <w:szCs w:val="28"/>
          <w:lang w:val="it-IT"/>
        </w:rPr>
        <w:t xml:space="preserve">đồng thời </w:t>
      </w:r>
      <w:r w:rsidR="003E443B" w:rsidRPr="0096488C">
        <w:rPr>
          <w:rFonts w:cs="Times New Roman"/>
          <w:szCs w:val="28"/>
          <w:lang w:val="it-IT"/>
        </w:rPr>
        <w:t>sửa đổi, bổ sung các vấn đề đang còn vướng mắc, bất cập trong thực tế triển khai các chính sách hiện hành.</w:t>
      </w:r>
      <w:r w:rsidR="001C42EE" w:rsidRPr="0096488C">
        <w:rPr>
          <w:rFonts w:cs="Times New Roman"/>
          <w:szCs w:val="28"/>
          <w:lang w:val="it-IT"/>
        </w:rPr>
        <w:t xml:space="preserve"> </w:t>
      </w:r>
    </w:p>
    <w:p w14:paraId="63D50ED5" w14:textId="07C15902" w:rsidR="00172DEB" w:rsidRPr="0096488C" w:rsidRDefault="00172DEB" w:rsidP="0096488C">
      <w:pPr>
        <w:spacing w:before="60" w:after="60" w:line="264" w:lineRule="auto"/>
        <w:ind w:firstLine="720"/>
        <w:jc w:val="both"/>
        <w:rPr>
          <w:rFonts w:cs="Times New Roman"/>
          <w:szCs w:val="28"/>
          <w:lang w:val="it-IT"/>
        </w:rPr>
      </w:pPr>
      <w:r w:rsidRPr="0096488C">
        <w:rPr>
          <w:rFonts w:cs="Times New Roman"/>
          <w:szCs w:val="28"/>
          <w:lang w:val="it-IT"/>
        </w:rPr>
        <w:t xml:space="preserve">a) Quy định </w:t>
      </w:r>
      <w:r w:rsidR="00C5476B" w:rsidRPr="0096488C">
        <w:rPr>
          <w:rFonts w:cs="Times New Roman"/>
          <w:szCs w:val="28"/>
          <w:lang w:val="it-IT"/>
        </w:rPr>
        <w:t>về</w:t>
      </w:r>
      <w:r w:rsidRPr="0096488C">
        <w:rPr>
          <w:rFonts w:cs="Times New Roman"/>
          <w:szCs w:val="28"/>
          <w:lang w:val="it-IT"/>
        </w:rPr>
        <w:t xml:space="preserve"> </w:t>
      </w:r>
      <w:r w:rsidRPr="0096488C">
        <w:rPr>
          <w:rFonts w:cs="Times New Roman"/>
          <w:szCs w:val="28"/>
        </w:rPr>
        <w:t>chính sách hỗ trợ phát triển nguồn nhân lực</w:t>
      </w:r>
      <w:r w:rsidR="00B03318" w:rsidRPr="0096488C">
        <w:rPr>
          <w:rFonts w:cs="Times New Roman"/>
          <w:szCs w:val="28"/>
        </w:rPr>
        <w:t>, thông tin, tư vấn</w:t>
      </w:r>
      <w:r w:rsidR="007D6022" w:rsidRPr="0096488C">
        <w:rPr>
          <w:rFonts w:cs="Times New Roman"/>
          <w:szCs w:val="28"/>
        </w:rPr>
        <w:t>, nhân rộng mô hình HTX hiệu quả</w:t>
      </w:r>
      <w:r w:rsidRPr="0096488C">
        <w:rPr>
          <w:rFonts w:cs="Times New Roman"/>
          <w:szCs w:val="28"/>
        </w:rPr>
        <w:t xml:space="preserve"> tại </w:t>
      </w:r>
      <w:r w:rsidR="00B03318" w:rsidRPr="0096488C">
        <w:rPr>
          <w:rFonts w:cs="Times New Roman"/>
          <w:szCs w:val="28"/>
        </w:rPr>
        <w:t xml:space="preserve">các </w:t>
      </w:r>
      <w:r w:rsidRPr="0096488C">
        <w:rPr>
          <w:rFonts w:cs="Times New Roman"/>
          <w:szCs w:val="28"/>
        </w:rPr>
        <w:t xml:space="preserve">Điều </w:t>
      </w:r>
      <w:r w:rsidR="00CB3272" w:rsidRPr="0096488C">
        <w:rPr>
          <w:rFonts w:cs="Times New Roman"/>
          <w:szCs w:val="28"/>
        </w:rPr>
        <w:t>7</w:t>
      </w:r>
      <w:r w:rsidR="00B03318" w:rsidRPr="0096488C">
        <w:rPr>
          <w:rFonts w:cs="Times New Roman"/>
          <w:szCs w:val="28"/>
        </w:rPr>
        <w:t>, 8, 9, 10</w:t>
      </w:r>
      <w:r w:rsidRPr="0096488C">
        <w:rPr>
          <w:rFonts w:cs="Times New Roman"/>
          <w:szCs w:val="28"/>
        </w:rPr>
        <w:t xml:space="preserve"> dự thảo Nghị định, cụ thể:</w:t>
      </w:r>
    </w:p>
    <w:p w14:paraId="10F461BF" w14:textId="46337D4D" w:rsidR="00B03318" w:rsidRPr="0096488C" w:rsidRDefault="00B03318" w:rsidP="0096488C">
      <w:pPr>
        <w:shd w:val="clear" w:color="auto" w:fill="FFFFFF"/>
        <w:spacing w:before="60" w:after="60" w:line="264" w:lineRule="auto"/>
        <w:ind w:firstLine="709"/>
        <w:jc w:val="both"/>
        <w:rPr>
          <w:rFonts w:cs="Times New Roman"/>
          <w:szCs w:val="28"/>
          <w:lang w:val="de-DE"/>
        </w:rPr>
      </w:pPr>
      <w:r w:rsidRPr="0096488C">
        <w:rPr>
          <w:rFonts w:cs="Times New Roman"/>
          <w:szCs w:val="28"/>
          <w:lang w:val="de-DE"/>
        </w:rPr>
        <w:t xml:space="preserve">- </w:t>
      </w:r>
      <w:r w:rsidR="00A94B36" w:rsidRPr="0096488C">
        <w:rPr>
          <w:rFonts w:cs="Times New Roman"/>
          <w:szCs w:val="28"/>
          <w:lang w:val="de-DE"/>
        </w:rPr>
        <w:t>Ngoài các đối tượng là tổ hợp tác, HTX, liên hiệp HTX</w:t>
      </w:r>
      <w:r w:rsidR="00AF3BE2" w:rsidRPr="0096488C">
        <w:rPr>
          <w:rFonts w:cs="Times New Roman"/>
          <w:szCs w:val="28"/>
          <w:lang w:val="de-DE"/>
        </w:rPr>
        <w:t xml:space="preserve"> và thành viên, người lao động của các tổ chức này</w:t>
      </w:r>
      <w:r w:rsidR="00A94B36" w:rsidRPr="0096488C">
        <w:rPr>
          <w:rFonts w:cs="Times New Roman"/>
          <w:szCs w:val="28"/>
          <w:lang w:val="de-DE"/>
        </w:rPr>
        <w:t xml:space="preserve"> theo quy định chính sách hiện hành được giữ nguyên tại dự thảo Nghị định, b</w:t>
      </w:r>
      <w:r w:rsidRPr="0096488C">
        <w:rPr>
          <w:rFonts w:cs="Times New Roman"/>
          <w:szCs w:val="28"/>
        </w:rPr>
        <w:t xml:space="preserve">ổ sung thêm đối tượng là các cơ sở giáo dục, đào tạo có triển khai nội dung đào tạo về kinh tế tập thể </w:t>
      </w:r>
      <w:r w:rsidR="00DF616F" w:rsidRPr="0096488C">
        <w:rPr>
          <w:rFonts w:cs="Times New Roman"/>
          <w:szCs w:val="28"/>
        </w:rPr>
        <w:t xml:space="preserve">tại khoản 1 Điều 7 dự thảo Nghị định </w:t>
      </w:r>
      <w:r w:rsidRPr="0096488C">
        <w:rPr>
          <w:rFonts w:cs="Times New Roman"/>
          <w:szCs w:val="28"/>
        </w:rPr>
        <w:t>để phù hợp với khoản 1 Điều 20 Luật HTX năm 2023; bổ sung quy định x</w:t>
      </w:r>
      <w:r w:rsidRPr="0096488C">
        <w:rPr>
          <w:rFonts w:cs="Times New Roman"/>
          <w:szCs w:val="28"/>
          <w:lang w:val="vi-VN"/>
        </w:rPr>
        <w:t xml:space="preserve">ây </w:t>
      </w:r>
      <w:r w:rsidRPr="0096488C">
        <w:rPr>
          <w:rFonts w:cs="Times New Roman"/>
          <w:szCs w:val="28"/>
          <w:lang w:val="de-DE"/>
        </w:rPr>
        <w:t xml:space="preserve">dựng và triển khai các </w:t>
      </w:r>
      <w:bookmarkStart w:id="4" w:name="_Hlk157499955"/>
      <w:r w:rsidRPr="0096488C">
        <w:rPr>
          <w:rFonts w:cs="Times New Roman"/>
          <w:szCs w:val="28"/>
          <w:lang w:val="de-DE"/>
        </w:rPr>
        <w:t xml:space="preserve">chương trình truyền thông </w:t>
      </w:r>
      <w:bookmarkEnd w:id="4"/>
      <w:r w:rsidRPr="0096488C">
        <w:rPr>
          <w:rFonts w:cs="Times New Roman"/>
          <w:szCs w:val="28"/>
          <w:lang w:val="de-DE"/>
        </w:rPr>
        <w:t xml:space="preserve">để nâng cao nhận thức, kiến thức quản trị và sản xuất, kinh doanh để tăng cường công tác tuyên truyền </w:t>
      </w:r>
      <w:r w:rsidR="007D6022" w:rsidRPr="0096488C">
        <w:rPr>
          <w:rFonts w:cs="Times New Roman"/>
          <w:szCs w:val="28"/>
          <w:lang w:val="de-DE"/>
        </w:rPr>
        <w:t xml:space="preserve">tại </w:t>
      </w:r>
      <w:r w:rsidR="00AF3BE2" w:rsidRPr="0096488C">
        <w:rPr>
          <w:rFonts w:cs="Times New Roman"/>
          <w:szCs w:val="28"/>
          <w:lang w:val="de-DE"/>
        </w:rPr>
        <w:t xml:space="preserve">điểm e </w:t>
      </w:r>
      <w:r w:rsidRPr="0096488C">
        <w:rPr>
          <w:rFonts w:cs="Times New Roman"/>
          <w:szCs w:val="28"/>
        </w:rPr>
        <w:t>khoản 2 Điều 7 dự thảo Nghị định;</w:t>
      </w:r>
    </w:p>
    <w:p w14:paraId="2C5D71DB" w14:textId="77777777" w:rsidR="00AF3BE2" w:rsidRPr="0096488C" w:rsidRDefault="00B03318" w:rsidP="0096488C">
      <w:pPr>
        <w:shd w:val="clear" w:color="auto" w:fill="FFFFFF"/>
        <w:spacing w:before="60" w:after="60" w:line="264" w:lineRule="auto"/>
        <w:ind w:firstLine="709"/>
        <w:jc w:val="both"/>
        <w:rPr>
          <w:rFonts w:cs="Times New Roman"/>
          <w:szCs w:val="28"/>
          <w:lang w:val="de-DE"/>
        </w:rPr>
      </w:pPr>
      <w:r w:rsidRPr="0096488C">
        <w:rPr>
          <w:rFonts w:cs="Times New Roman"/>
          <w:szCs w:val="28"/>
        </w:rPr>
        <w:lastRenderedPageBreak/>
        <w:t xml:space="preserve">- </w:t>
      </w:r>
      <w:r w:rsidR="00744FDD" w:rsidRPr="0096488C">
        <w:rPr>
          <w:rFonts w:cs="Times New Roman"/>
          <w:szCs w:val="28"/>
        </w:rPr>
        <w:t>G</w:t>
      </w:r>
      <w:r w:rsidR="00744FDD" w:rsidRPr="0096488C">
        <w:rPr>
          <w:rFonts w:cs="Times New Roman"/>
          <w:szCs w:val="28"/>
          <w:lang w:val="de-DE"/>
        </w:rPr>
        <w:t>iữ nguyên tại dự thảo Nghị định các nội dung hỗ trợ của các chính sách hiện hành, đồng thời</w:t>
      </w:r>
      <w:r w:rsidR="00744FDD" w:rsidRPr="0096488C">
        <w:rPr>
          <w:rFonts w:cs="Times New Roman"/>
          <w:szCs w:val="28"/>
        </w:rPr>
        <w:t xml:space="preserve"> b</w:t>
      </w:r>
      <w:r w:rsidRPr="0096488C">
        <w:rPr>
          <w:rFonts w:cs="Times New Roman"/>
          <w:szCs w:val="28"/>
        </w:rPr>
        <w:t>ổ sung</w:t>
      </w:r>
      <w:r w:rsidRPr="0096488C">
        <w:rPr>
          <w:rFonts w:cs="Times New Roman"/>
          <w:szCs w:val="28"/>
          <w:lang w:val="de-DE"/>
        </w:rPr>
        <w:t xml:space="preserve"> </w:t>
      </w:r>
      <w:r w:rsidR="00AF3BE2" w:rsidRPr="0096488C">
        <w:rPr>
          <w:rFonts w:cs="Times New Roman"/>
          <w:szCs w:val="28"/>
          <w:lang w:val="de-DE"/>
        </w:rPr>
        <w:t xml:space="preserve">các </w:t>
      </w:r>
      <w:r w:rsidRPr="0096488C">
        <w:rPr>
          <w:rFonts w:cs="Times New Roman"/>
          <w:szCs w:val="28"/>
          <w:lang w:val="de-DE"/>
        </w:rPr>
        <w:t>nội dung</w:t>
      </w:r>
      <w:r w:rsidR="00AF3BE2" w:rsidRPr="0096488C">
        <w:rPr>
          <w:rFonts w:cs="Times New Roman"/>
          <w:szCs w:val="28"/>
          <w:lang w:val="de-DE"/>
        </w:rPr>
        <w:t xml:space="preserve"> sau:</w:t>
      </w:r>
    </w:p>
    <w:p w14:paraId="0A56A2AD" w14:textId="48EB9DBD" w:rsidR="00B03318" w:rsidRPr="0096488C" w:rsidRDefault="00AF3BE2" w:rsidP="0096488C">
      <w:pPr>
        <w:shd w:val="clear" w:color="auto" w:fill="FFFFFF"/>
        <w:spacing w:before="60" w:after="60" w:line="264" w:lineRule="auto"/>
        <w:ind w:firstLine="709"/>
        <w:jc w:val="both"/>
        <w:rPr>
          <w:rFonts w:cs="Times New Roman"/>
          <w:szCs w:val="28"/>
        </w:rPr>
      </w:pPr>
      <w:r w:rsidRPr="0096488C">
        <w:rPr>
          <w:rFonts w:cs="Times New Roman"/>
          <w:szCs w:val="28"/>
          <w:lang w:val="de-DE"/>
        </w:rPr>
        <w:t>+</w:t>
      </w:r>
      <w:r w:rsidR="00F50B2A" w:rsidRPr="0096488C">
        <w:rPr>
          <w:rFonts w:cs="Times New Roman"/>
          <w:szCs w:val="28"/>
          <w:lang w:val="de-DE"/>
        </w:rPr>
        <w:t xml:space="preserve"> Để</w:t>
      </w:r>
      <w:r w:rsidR="00F50B2A" w:rsidRPr="0096488C">
        <w:rPr>
          <w:rFonts w:cs="Times New Roman"/>
          <w:szCs w:val="28"/>
        </w:rPr>
        <w:t xml:space="preserve"> phù hợp với điều kiện, tình hình trong từng thời kỳ, quy định</w:t>
      </w:r>
      <w:r w:rsidR="00F50B2A" w:rsidRPr="0096488C">
        <w:rPr>
          <w:rFonts w:cs="Times New Roman"/>
          <w:szCs w:val="28"/>
          <w:lang w:val="de-DE"/>
        </w:rPr>
        <w:t xml:space="preserve"> đ</w:t>
      </w:r>
      <w:r w:rsidR="00B03318" w:rsidRPr="0096488C">
        <w:rPr>
          <w:rFonts w:cs="Times New Roman"/>
          <w:szCs w:val="28"/>
          <w:lang w:val="de-DE"/>
        </w:rPr>
        <w:t xml:space="preserve">ào tạo bồi dưỡng theo khung kiến thức </w:t>
      </w:r>
      <w:r w:rsidR="00F50B2A" w:rsidRPr="0096488C">
        <w:rPr>
          <w:rFonts w:cs="Times New Roman"/>
          <w:szCs w:val="28"/>
          <w:lang w:val="de-DE"/>
        </w:rPr>
        <w:t>sẽ được hướng dẫn</w:t>
      </w:r>
      <w:r w:rsidR="00B03318" w:rsidRPr="0096488C">
        <w:rPr>
          <w:rFonts w:cs="Times New Roman"/>
          <w:szCs w:val="28"/>
          <w:lang w:val="de-DE"/>
        </w:rPr>
        <w:t xml:space="preserve"> tại </w:t>
      </w:r>
      <w:r w:rsidR="008D7E72" w:rsidRPr="0096488C">
        <w:rPr>
          <w:rFonts w:cs="Times New Roman"/>
          <w:szCs w:val="28"/>
          <w:lang w:val="de-DE"/>
        </w:rPr>
        <w:t>C</w:t>
      </w:r>
      <w:r w:rsidR="00B03318" w:rsidRPr="0096488C">
        <w:rPr>
          <w:rFonts w:cs="Times New Roman"/>
          <w:szCs w:val="28"/>
          <w:lang w:val="de-DE"/>
        </w:rPr>
        <w:t xml:space="preserve">hương trình </w:t>
      </w:r>
      <w:r w:rsidR="008D7E72" w:rsidRPr="0096488C">
        <w:rPr>
          <w:rFonts w:cs="Times New Roman"/>
          <w:szCs w:val="28"/>
          <w:lang w:val="de-DE"/>
        </w:rPr>
        <w:t>tổng thể</w:t>
      </w:r>
      <w:r w:rsidR="00B03318" w:rsidRPr="0096488C">
        <w:rPr>
          <w:rFonts w:cs="Times New Roman"/>
          <w:szCs w:val="28"/>
          <w:lang w:val="de-DE"/>
        </w:rPr>
        <w:t xml:space="preserve"> phát triển kinh tế tập thể do Thủ tướng Chính phủ ban hành</w:t>
      </w:r>
      <w:r w:rsidR="00B03318" w:rsidRPr="0096488C">
        <w:rPr>
          <w:rFonts w:cs="Times New Roman"/>
          <w:szCs w:val="28"/>
          <w:lang w:val="vi-VN"/>
        </w:rPr>
        <w:t xml:space="preserve"> </w:t>
      </w:r>
      <w:r w:rsidR="00BA2AF4" w:rsidRPr="0096488C">
        <w:rPr>
          <w:rFonts w:cs="Times New Roman"/>
          <w:szCs w:val="28"/>
        </w:rPr>
        <w:t xml:space="preserve">tại </w:t>
      </w:r>
      <w:r w:rsidRPr="0096488C">
        <w:rPr>
          <w:rFonts w:cs="Times New Roman"/>
          <w:szCs w:val="28"/>
        </w:rPr>
        <w:t xml:space="preserve">điểm c </w:t>
      </w:r>
      <w:r w:rsidR="00B03318" w:rsidRPr="0096488C">
        <w:rPr>
          <w:rFonts w:cs="Times New Roman"/>
          <w:szCs w:val="28"/>
        </w:rPr>
        <w:t>khoản 2 Điều 8 dự thảo Nghị định.</w:t>
      </w:r>
    </w:p>
    <w:p w14:paraId="38AB6E00" w14:textId="6972FD00" w:rsidR="00B03318" w:rsidRPr="0096488C" w:rsidRDefault="00AF3BE2" w:rsidP="0096488C">
      <w:pPr>
        <w:shd w:val="clear" w:color="auto" w:fill="FFFFFF"/>
        <w:spacing w:before="60" w:after="60" w:line="264" w:lineRule="auto"/>
        <w:ind w:firstLine="709"/>
        <w:jc w:val="both"/>
        <w:rPr>
          <w:rFonts w:cs="Times New Roman"/>
          <w:szCs w:val="28"/>
          <w:lang w:val="nl-NL"/>
        </w:rPr>
      </w:pPr>
      <w:r w:rsidRPr="0096488C">
        <w:rPr>
          <w:rFonts w:cs="Times New Roman"/>
          <w:szCs w:val="28"/>
        </w:rPr>
        <w:t>+</w:t>
      </w:r>
      <w:r w:rsidR="00B03318" w:rsidRPr="0096488C">
        <w:rPr>
          <w:rFonts w:cs="Times New Roman"/>
          <w:szCs w:val="28"/>
        </w:rPr>
        <w:t xml:space="preserve"> </w:t>
      </w:r>
      <w:r w:rsidR="00F50B2A" w:rsidRPr="0096488C">
        <w:rPr>
          <w:rFonts w:cs="Times New Roman"/>
          <w:szCs w:val="28"/>
          <w:lang w:val="nl-NL"/>
        </w:rPr>
        <w:t>Nhằm bảo đảm tính minh bạch, rõ ràng, quy định</w:t>
      </w:r>
      <w:r w:rsidR="00F50B2A" w:rsidRPr="0096488C">
        <w:rPr>
          <w:rFonts w:cs="Times New Roman"/>
          <w:szCs w:val="28"/>
        </w:rPr>
        <w:t xml:space="preserve"> t</w:t>
      </w:r>
      <w:r w:rsidR="00B03318" w:rsidRPr="0096488C">
        <w:rPr>
          <w:rFonts w:cs="Times New Roman"/>
          <w:szCs w:val="28"/>
          <w:lang w:val="nl-NL"/>
        </w:rPr>
        <w:t xml:space="preserve">ổ hợp tác, </w:t>
      </w:r>
      <w:r w:rsidR="003F3123" w:rsidRPr="0096488C">
        <w:rPr>
          <w:rFonts w:cs="Times New Roman"/>
          <w:szCs w:val="28"/>
          <w:lang w:val="nl-NL"/>
        </w:rPr>
        <w:t>HTX</w:t>
      </w:r>
      <w:r w:rsidR="00B03318" w:rsidRPr="0096488C">
        <w:rPr>
          <w:rFonts w:cs="Times New Roman"/>
          <w:szCs w:val="28"/>
          <w:lang w:val="nl-NL"/>
        </w:rPr>
        <w:t xml:space="preserve">, liên hiệp </w:t>
      </w:r>
      <w:r w:rsidR="003F3123" w:rsidRPr="0096488C">
        <w:rPr>
          <w:rFonts w:cs="Times New Roman"/>
          <w:szCs w:val="28"/>
          <w:lang w:val="nl-NL"/>
        </w:rPr>
        <w:t>HTX</w:t>
      </w:r>
      <w:r w:rsidR="00B03318" w:rsidRPr="0096488C">
        <w:rPr>
          <w:rFonts w:cs="Times New Roman"/>
          <w:szCs w:val="28"/>
          <w:lang w:val="nl-NL"/>
        </w:rPr>
        <w:t xml:space="preserve"> </w:t>
      </w:r>
      <w:r w:rsidRPr="0096488C">
        <w:rPr>
          <w:rFonts w:cs="Times New Roman"/>
          <w:szCs w:val="28"/>
          <w:lang w:val="nl-NL"/>
        </w:rPr>
        <w:t xml:space="preserve">được </w:t>
      </w:r>
      <w:r w:rsidR="00B03318" w:rsidRPr="0096488C">
        <w:rPr>
          <w:rFonts w:cs="Times New Roman"/>
          <w:szCs w:val="28"/>
          <w:lang w:val="nl-NL"/>
        </w:rPr>
        <w:t xml:space="preserve">cung cấp, khai thác thông tin về chính sách hỗ trợ, </w:t>
      </w:r>
      <w:r w:rsidRPr="0096488C">
        <w:rPr>
          <w:rFonts w:cs="Times New Roman"/>
          <w:szCs w:val="28"/>
          <w:lang w:val="nl-NL"/>
        </w:rPr>
        <w:t>các thông tin khác có liên quan</w:t>
      </w:r>
      <w:r w:rsidR="00B03318" w:rsidRPr="0096488C">
        <w:rPr>
          <w:rFonts w:cs="Times New Roman"/>
          <w:szCs w:val="28"/>
          <w:lang w:val="nl-NL"/>
        </w:rPr>
        <w:t xml:space="preserve"> trên Cổng thông tin quốc gia về </w:t>
      </w:r>
      <w:r w:rsidR="003F3123" w:rsidRPr="0096488C">
        <w:rPr>
          <w:rFonts w:cs="Times New Roman"/>
          <w:szCs w:val="28"/>
          <w:lang w:val="nl-NL"/>
        </w:rPr>
        <w:t>HTX</w:t>
      </w:r>
      <w:r w:rsidR="00B03318" w:rsidRPr="0096488C">
        <w:rPr>
          <w:rFonts w:cs="Times New Roman"/>
          <w:szCs w:val="28"/>
          <w:lang w:val="nl-NL"/>
        </w:rPr>
        <w:t xml:space="preserve"> (khoản 2 Điều 8 dự thảo Nghị định).</w:t>
      </w:r>
    </w:p>
    <w:p w14:paraId="23A7B91A" w14:textId="78B06477" w:rsidR="00B03318" w:rsidRPr="0096488C" w:rsidRDefault="00AF3BE2" w:rsidP="0096488C">
      <w:pPr>
        <w:shd w:val="clear" w:color="auto" w:fill="FFFFFF"/>
        <w:spacing w:before="60" w:after="60" w:line="264" w:lineRule="auto"/>
        <w:ind w:firstLine="709"/>
        <w:jc w:val="both"/>
        <w:rPr>
          <w:rFonts w:cs="Times New Roman"/>
          <w:szCs w:val="28"/>
          <w:lang w:val="nl-NL"/>
        </w:rPr>
      </w:pPr>
      <w:r w:rsidRPr="0096488C">
        <w:rPr>
          <w:rFonts w:cs="Times New Roman"/>
          <w:szCs w:val="28"/>
          <w:lang w:val="nl-NL"/>
        </w:rPr>
        <w:t>+</w:t>
      </w:r>
      <w:r w:rsidR="00B03318" w:rsidRPr="0096488C">
        <w:rPr>
          <w:rFonts w:cs="Times New Roman"/>
          <w:szCs w:val="28"/>
          <w:lang w:val="nl-NL"/>
        </w:rPr>
        <w:t xml:space="preserve"> Quy định mang tính định hướng, khuyến khích Hệ thống Liên minh HTX Việt Nam, các cơ quan, cá nhân, tổ chức liên quan tự triển khai xây dựng mạng lưới tư vấn cho các tổ chức kinh tế tập thể (Điều 9 dự thảo Nghị định)</w:t>
      </w:r>
      <w:r w:rsidR="00AA5709" w:rsidRPr="0096488C">
        <w:rPr>
          <w:rFonts w:cs="Times New Roman"/>
          <w:szCs w:val="28"/>
          <w:lang w:val="nl-NL"/>
        </w:rPr>
        <w:t>.</w:t>
      </w:r>
    </w:p>
    <w:p w14:paraId="7CDE01DD" w14:textId="72C7AF15" w:rsidR="00CC05D7" w:rsidRPr="0096488C" w:rsidRDefault="00B03318" w:rsidP="0096488C">
      <w:pPr>
        <w:spacing w:before="60" w:after="60" w:line="264" w:lineRule="auto"/>
        <w:ind w:firstLine="709"/>
        <w:jc w:val="both"/>
        <w:rPr>
          <w:rFonts w:cs="Times New Roman"/>
          <w:szCs w:val="28"/>
        </w:rPr>
      </w:pPr>
      <w:r w:rsidRPr="0096488C">
        <w:rPr>
          <w:rFonts w:cs="Times New Roman"/>
          <w:szCs w:val="28"/>
        </w:rPr>
        <w:t xml:space="preserve">- Về kinh phí hỗ trợ từ </w:t>
      </w:r>
      <w:r w:rsidR="002C4FFB" w:rsidRPr="0096488C">
        <w:rPr>
          <w:rFonts w:cs="Times New Roman"/>
          <w:szCs w:val="28"/>
        </w:rPr>
        <w:t>NSNN</w:t>
      </w:r>
      <w:r w:rsidRPr="0096488C">
        <w:rPr>
          <w:rFonts w:cs="Times New Roman"/>
          <w:szCs w:val="28"/>
        </w:rPr>
        <w:t xml:space="preserve">: </w:t>
      </w:r>
    </w:p>
    <w:p w14:paraId="40F57DEE" w14:textId="7C67017C" w:rsidR="00B03318" w:rsidRPr="0096488C" w:rsidRDefault="00CC05D7" w:rsidP="0096488C">
      <w:pPr>
        <w:spacing w:before="60" w:after="60" w:line="264" w:lineRule="auto"/>
        <w:ind w:firstLine="709"/>
        <w:jc w:val="both"/>
        <w:rPr>
          <w:rFonts w:cs="Times New Roman"/>
          <w:szCs w:val="28"/>
        </w:rPr>
      </w:pPr>
      <w:r w:rsidRPr="0096488C">
        <w:rPr>
          <w:rFonts w:cs="Times New Roman"/>
          <w:szCs w:val="28"/>
        </w:rPr>
        <w:t xml:space="preserve">+ </w:t>
      </w:r>
      <w:r w:rsidR="00B03318" w:rsidRPr="0096488C">
        <w:rPr>
          <w:rFonts w:cs="Times New Roman"/>
          <w:szCs w:val="28"/>
        </w:rPr>
        <w:t xml:space="preserve">Bổ sung nguồn </w:t>
      </w:r>
      <w:r w:rsidR="002C4FFB" w:rsidRPr="0096488C">
        <w:rPr>
          <w:rFonts w:cs="Times New Roman"/>
          <w:szCs w:val="28"/>
        </w:rPr>
        <w:t>NSNN</w:t>
      </w:r>
      <w:r w:rsidR="00B03318" w:rsidRPr="0096488C">
        <w:rPr>
          <w:rFonts w:cs="Times New Roman"/>
          <w:szCs w:val="28"/>
        </w:rPr>
        <w:t xml:space="preserve"> bao gồm cả trung ương và địa phương nhằm bảo đảm chính sách được thực hiện </w:t>
      </w:r>
      <w:r w:rsidR="009B28DC" w:rsidRPr="0096488C">
        <w:rPr>
          <w:rFonts w:cs="Times New Roman"/>
          <w:szCs w:val="28"/>
        </w:rPr>
        <w:t xml:space="preserve">phù hợp với nguồn lực </w:t>
      </w:r>
      <w:r w:rsidR="00B03318" w:rsidRPr="0096488C">
        <w:rPr>
          <w:rFonts w:cs="Times New Roman"/>
          <w:szCs w:val="28"/>
        </w:rPr>
        <w:t xml:space="preserve">ngân sách </w:t>
      </w:r>
      <w:r w:rsidR="009B28DC" w:rsidRPr="0096488C">
        <w:rPr>
          <w:rFonts w:cs="Times New Roman"/>
          <w:szCs w:val="28"/>
        </w:rPr>
        <w:t xml:space="preserve">của từng cấp, </w:t>
      </w:r>
      <w:r w:rsidR="00AF49B3" w:rsidRPr="0096488C">
        <w:rPr>
          <w:rFonts w:cs="Times New Roman"/>
          <w:szCs w:val="28"/>
        </w:rPr>
        <w:t xml:space="preserve">đồng thời ngân sách các cấp có thể bổ trợ cho nhau khi cần thiết </w:t>
      </w:r>
      <w:r w:rsidR="00B03318" w:rsidRPr="0096488C">
        <w:rPr>
          <w:rFonts w:cs="Times New Roman"/>
          <w:szCs w:val="28"/>
        </w:rPr>
        <w:t>(khoản 3 các điều 7, 8, 9, 10 dự thảo Nghị định);</w:t>
      </w:r>
    </w:p>
    <w:p w14:paraId="0FF5631C" w14:textId="13E75F48" w:rsidR="009F5510" w:rsidRPr="0096488C" w:rsidRDefault="00CC05D7" w:rsidP="0096488C">
      <w:pPr>
        <w:shd w:val="clear" w:color="auto" w:fill="FFFFFF"/>
        <w:spacing w:before="60" w:after="60" w:line="264" w:lineRule="auto"/>
        <w:ind w:firstLine="709"/>
        <w:jc w:val="both"/>
        <w:rPr>
          <w:rFonts w:cs="Times New Roman"/>
          <w:szCs w:val="28"/>
        </w:rPr>
      </w:pPr>
      <w:r w:rsidRPr="0096488C">
        <w:rPr>
          <w:rFonts w:cs="Times New Roman"/>
          <w:szCs w:val="28"/>
        </w:rPr>
        <w:t>+</w:t>
      </w:r>
      <w:r w:rsidR="00B03318" w:rsidRPr="0096488C">
        <w:rPr>
          <w:rFonts w:cs="Times New Roman"/>
          <w:szCs w:val="28"/>
        </w:rPr>
        <w:t xml:space="preserve"> </w:t>
      </w:r>
      <w:r w:rsidR="00F50B2A" w:rsidRPr="0096488C">
        <w:rPr>
          <w:rFonts w:cs="Times New Roman"/>
          <w:szCs w:val="28"/>
        </w:rPr>
        <w:t>Để phù hợp với điều kiện, tình hình của từng thời kỳ và thực hiện đẩy mạnh phân cấp, phân quyền, dự thảo Nghị định quy định m</w:t>
      </w:r>
      <w:r w:rsidR="00B03318" w:rsidRPr="0096488C">
        <w:rPr>
          <w:rFonts w:cs="Times New Roman"/>
          <w:szCs w:val="28"/>
        </w:rPr>
        <w:t xml:space="preserve">ức kinh phí hỗ trợ cụ thể thực hiện từng chính sách do </w:t>
      </w:r>
      <w:r w:rsidR="00A8625A" w:rsidRPr="0096488C">
        <w:rPr>
          <w:lang w:val="de-DE"/>
        </w:rPr>
        <w:t xml:space="preserve">bộ, cơ quan trung ương, ủy ban nhân dân cấp tỉnh, ủy ban nhân dân cấp huyện xem xét, ban hành thứ tự tiêu chí ưu tiên </w:t>
      </w:r>
      <w:r w:rsidR="00A8625A" w:rsidRPr="0096488C">
        <w:rPr>
          <w:szCs w:val="28"/>
          <w:lang w:val="de-DE"/>
        </w:rPr>
        <w:t>lựa chọn đối tượng thụ hưởng chính sách</w:t>
      </w:r>
      <w:r w:rsidR="00A8625A" w:rsidRPr="0096488C">
        <w:rPr>
          <w:lang w:val="de-DE"/>
        </w:rPr>
        <w:t xml:space="preserve"> </w:t>
      </w:r>
      <w:r w:rsidR="00A8625A" w:rsidRPr="0096488C">
        <w:rPr>
          <w:szCs w:val="28"/>
        </w:rPr>
        <w:t xml:space="preserve">phù hợp với định hướng ưu tiên và khả năng cân đối nguồn lực trong từng thời kỳ </w:t>
      </w:r>
      <w:r w:rsidR="00B03318" w:rsidRPr="0096488C">
        <w:rPr>
          <w:rFonts w:cs="Times New Roman"/>
          <w:szCs w:val="28"/>
        </w:rPr>
        <w:t xml:space="preserve">(khoản 3 các điều </w:t>
      </w:r>
      <w:r w:rsidR="006F720F" w:rsidRPr="0096488C">
        <w:rPr>
          <w:rFonts w:cs="Times New Roman"/>
          <w:szCs w:val="28"/>
        </w:rPr>
        <w:t xml:space="preserve">7, </w:t>
      </w:r>
      <w:r w:rsidR="00B03318" w:rsidRPr="0096488C">
        <w:rPr>
          <w:rFonts w:cs="Times New Roman"/>
          <w:szCs w:val="28"/>
        </w:rPr>
        <w:t>8, 9, 10 dự thảo Nghị định).</w:t>
      </w:r>
    </w:p>
    <w:p w14:paraId="019C1EEC" w14:textId="0A2ACC0B" w:rsidR="00B03318" w:rsidRPr="0096488C" w:rsidRDefault="00B03318" w:rsidP="0096488C">
      <w:pPr>
        <w:spacing w:before="60" w:after="60" w:line="264" w:lineRule="auto"/>
        <w:ind w:firstLine="709"/>
        <w:jc w:val="both"/>
        <w:rPr>
          <w:rFonts w:cs="Times New Roman"/>
          <w:szCs w:val="28"/>
        </w:rPr>
      </w:pPr>
      <w:r w:rsidRPr="0096488C">
        <w:rPr>
          <w:rFonts w:cs="Times New Roman"/>
          <w:szCs w:val="28"/>
        </w:rPr>
        <w:t xml:space="preserve">b) </w:t>
      </w:r>
      <w:r w:rsidR="00AE3492" w:rsidRPr="0096488C">
        <w:rPr>
          <w:rFonts w:cs="Times New Roman"/>
          <w:szCs w:val="28"/>
        </w:rPr>
        <w:t>Quy định về c</w:t>
      </w:r>
      <w:r w:rsidRPr="0096488C">
        <w:rPr>
          <w:rFonts w:cs="Times New Roman"/>
          <w:szCs w:val="28"/>
        </w:rPr>
        <w:t xml:space="preserve">hính sách </w:t>
      </w:r>
      <w:bookmarkStart w:id="5" w:name="dieu_24"/>
      <w:r w:rsidRPr="0096488C">
        <w:rPr>
          <w:rFonts w:cs="Times New Roman"/>
          <w:szCs w:val="28"/>
        </w:rPr>
        <w:t>ứng dụng khoa học v</w:t>
      </w:r>
      <w:r w:rsidRPr="0096488C">
        <w:rPr>
          <w:rFonts w:cs="Times New Roman" w:hint="eastAsia"/>
          <w:szCs w:val="28"/>
        </w:rPr>
        <w:t>à</w:t>
      </w:r>
      <w:r w:rsidRPr="0096488C">
        <w:rPr>
          <w:rFonts w:cs="Times New Roman"/>
          <w:szCs w:val="28"/>
        </w:rPr>
        <w:t xml:space="preserve"> c</w:t>
      </w:r>
      <w:r w:rsidRPr="0096488C">
        <w:rPr>
          <w:rFonts w:cs="Times New Roman" w:hint="eastAsia"/>
          <w:szCs w:val="28"/>
        </w:rPr>
        <w:t>ô</w:t>
      </w:r>
      <w:r w:rsidRPr="0096488C">
        <w:rPr>
          <w:rFonts w:cs="Times New Roman"/>
          <w:szCs w:val="28"/>
        </w:rPr>
        <w:t xml:space="preserve">ng nghệ, </w:t>
      </w:r>
      <w:r w:rsidRPr="0096488C">
        <w:rPr>
          <w:rFonts w:cs="Times New Roman" w:hint="eastAsia"/>
          <w:szCs w:val="28"/>
        </w:rPr>
        <w:t>đ</w:t>
      </w:r>
      <w:r w:rsidRPr="0096488C">
        <w:rPr>
          <w:rFonts w:cs="Times New Roman"/>
          <w:szCs w:val="28"/>
        </w:rPr>
        <w:t>ổi mới s</w:t>
      </w:r>
      <w:r w:rsidRPr="0096488C">
        <w:rPr>
          <w:rFonts w:cs="Times New Roman" w:hint="eastAsia"/>
          <w:szCs w:val="28"/>
        </w:rPr>
        <w:t>á</w:t>
      </w:r>
      <w:r w:rsidRPr="0096488C">
        <w:rPr>
          <w:rFonts w:cs="Times New Roman"/>
          <w:szCs w:val="28"/>
        </w:rPr>
        <w:t>ng tạo v</w:t>
      </w:r>
      <w:r w:rsidRPr="0096488C">
        <w:rPr>
          <w:rFonts w:cs="Times New Roman" w:hint="eastAsia"/>
          <w:szCs w:val="28"/>
        </w:rPr>
        <w:t>à</w:t>
      </w:r>
      <w:r w:rsidRPr="0096488C">
        <w:rPr>
          <w:rFonts w:cs="Times New Roman"/>
          <w:szCs w:val="28"/>
        </w:rPr>
        <w:t xml:space="preserve"> chuyển </w:t>
      </w:r>
      <w:r w:rsidRPr="0096488C">
        <w:rPr>
          <w:rFonts w:cs="Times New Roman" w:hint="eastAsia"/>
          <w:szCs w:val="28"/>
        </w:rPr>
        <w:t>đ</w:t>
      </w:r>
      <w:r w:rsidRPr="0096488C">
        <w:rPr>
          <w:rFonts w:cs="Times New Roman"/>
          <w:szCs w:val="28"/>
        </w:rPr>
        <w:t>ổi số</w:t>
      </w:r>
      <w:bookmarkEnd w:id="5"/>
      <w:r w:rsidR="00AE3492" w:rsidRPr="0096488C">
        <w:rPr>
          <w:rFonts w:cs="Times New Roman"/>
          <w:szCs w:val="28"/>
        </w:rPr>
        <w:t xml:space="preserve"> tại Điều 11 dự thảo Nghị định, cụ thể:</w:t>
      </w:r>
    </w:p>
    <w:p w14:paraId="7C58203C" w14:textId="2EE6B741" w:rsidR="00B03318" w:rsidRPr="0096488C" w:rsidRDefault="00B03318" w:rsidP="0096488C">
      <w:pPr>
        <w:spacing w:before="60" w:after="60" w:line="264" w:lineRule="auto"/>
        <w:ind w:firstLine="709"/>
        <w:jc w:val="both"/>
        <w:rPr>
          <w:rFonts w:cs="Times New Roman"/>
          <w:szCs w:val="28"/>
        </w:rPr>
      </w:pPr>
      <w:r w:rsidRPr="0096488C">
        <w:rPr>
          <w:rFonts w:cs="Times New Roman"/>
          <w:szCs w:val="28"/>
        </w:rPr>
        <w:t xml:space="preserve">Do trước đây chưa có quy định riêng chính sách này đối với </w:t>
      </w:r>
      <w:r w:rsidR="006A559D" w:rsidRPr="0096488C">
        <w:rPr>
          <w:rFonts w:cs="Times New Roman"/>
          <w:szCs w:val="28"/>
        </w:rPr>
        <w:t>tổ hợp tác</w:t>
      </w:r>
      <w:r w:rsidRPr="0096488C">
        <w:rPr>
          <w:rFonts w:cs="Times New Roman"/>
          <w:szCs w:val="28"/>
        </w:rPr>
        <w:t xml:space="preserve">, HTX, liên hiệp HTX, nên </w:t>
      </w:r>
      <w:r w:rsidR="00AE3492" w:rsidRPr="0096488C">
        <w:rPr>
          <w:rFonts w:cs="Times New Roman"/>
          <w:szCs w:val="28"/>
        </w:rPr>
        <w:t>dự thảo Nghị định</w:t>
      </w:r>
      <w:r w:rsidRPr="0096488C">
        <w:rPr>
          <w:rFonts w:cs="Times New Roman"/>
          <w:szCs w:val="28"/>
        </w:rPr>
        <w:t xml:space="preserve"> quy định chi tiết, đầy đủ các nội dung, định hướng đã được quy định tại Điều 24 Luật HTX, phù hợp với các quy định pháp luật hiện hành</w:t>
      </w:r>
      <w:r w:rsidR="00354637" w:rsidRPr="0096488C">
        <w:rPr>
          <w:rFonts w:cs="Times New Roman"/>
          <w:szCs w:val="28"/>
        </w:rPr>
        <w:t>, tập trung vào các vấn đề về chuyển đổi số nhằm nâng cao năng lực, thúc đẩy các tổ hợp tác, HTX, liên hiệp HTX ứng dụng công nghệ số trong quản trị, tổ chức sản xuất, kinh doanh,</w:t>
      </w:r>
      <w:r w:rsidRPr="0096488C">
        <w:rPr>
          <w:rFonts w:cs="Times New Roman"/>
          <w:szCs w:val="28"/>
        </w:rPr>
        <w:t xml:space="preserve"> gồm:</w:t>
      </w:r>
    </w:p>
    <w:p w14:paraId="394AA59C" w14:textId="5C2A4A2A" w:rsidR="00B03318" w:rsidRPr="0096488C" w:rsidRDefault="00DD5940" w:rsidP="0096488C">
      <w:pPr>
        <w:shd w:val="clear" w:color="auto" w:fill="FFFFFF"/>
        <w:spacing w:before="60" w:after="60" w:line="264" w:lineRule="auto"/>
        <w:ind w:firstLine="709"/>
        <w:jc w:val="both"/>
        <w:rPr>
          <w:rFonts w:eastAsia="Times New Roman" w:cs="Times New Roman"/>
          <w:szCs w:val="28"/>
        </w:rPr>
      </w:pPr>
      <w:r w:rsidRPr="0096488C">
        <w:rPr>
          <w:rFonts w:cs="Times New Roman"/>
          <w:szCs w:val="28"/>
        </w:rPr>
        <w:t>-</w:t>
      </w:r>
      <w:r w:rsidR="00B03318" w:rsidRPr="0096488C">
        <w:rPr>
          <w:rFonts w:cs="Times New Roman"/>
          <w:szCs w:val="28"/>
        </w:rPr>
        <w:t xml:space="preserve"> </w:t>
      </w:r>
      <w:r w:rsidR="00B03318" w:rsidRPr="0096488C">
        <w:rPr>
          <w:rFonts w:eastAsia="Times New Roman" w:cs="Times New Roman"/>
          <w:szCs w:val="28"/>
          <w:shd w:val="clear" w:color="auto" w:fill="FFFFFF"/>
          <w:lang w:val="de-DE"/>
        </w:rPr>
        <w:t>T</w:t>
      </w:r>
      <w:r w:rsidR="00B03318" w:rsidRPr="0096488C">
        <w:rPr>
          <w:rFonts w:eastAsia="Times New Roman" w:cs="Times New Roman"/>
          <w:szCs w:val="28"/>
          <w:lang w:val="vi-VN"/>
        </w:rPr>
        <w:t xml:space="preserve">ư vấn giải pháp chuyển đổi số </w:t>
      </w:r>
      <w:r w:rsidR="00B03318" w:rsidRPr="0096488C">
        <w:rPr>
          <w:rFonts w:eastAsia="Times New Roman" w:cs="Times New Roman"/>
          <w:szCs w:val="28"/>
          <w:lang w:val="de-DE"/>
        </w:rPr>
        <w:t>đối với</w:t>
      </w:r>
      <w:r w:rsidR="00B03318" w:rsidRPr="0096488C">
        <w:rPr>
          <w:rFonts w:eastAsia="Times New Roman" w:cs="Times New Roman"/>
          <w:szCs w:val="28"/>
          <w:lang w:val="vi-VN"/>
        </w:rPr>
        <w:t xml:space="preserve"> quy trình kinh doanh, quy trình quản trị, quy trình sản xuất, quy trình công nghệ và chuyển đổi mô hình kinh doanh</w:t>
      </w:r>
      <w:r w:rsidR="00B03318" w:rsidRPr="0096488C">
        <w:rPr>
          <w:rFonts w:eastAsia="Times New Roman" w:cs="Times New Roman"/>
          <w:szCs w:val="28"/>
        </w:rPr>
        <w:t xml:space="preserve">; </w:t>
      </w:r>
    </w:p>
    <w:p w14:paraId="7FC01AF3" w14:textId="69D931B0" w:rsidR="00B03318" w:rsidRPr="0096488C" w:rsidRDefault="00DD5940" w:rsidP="0096488C">
      <w:pPr>
        <w:shd w:val="clear" w:color="auto" w:fill="FFFFFF"/>
        <w:spacing w:before="60" w:after="60" w:line="264" w:lineRule="auto"/>
        <w:ind w:firstLine="709"/>
        <w:jc w:val="both"/>
        <w:rPr>
          <w:rFonts w:eastAsia="Times New Roman" w:cs="Times New Roman"/>
          <w:szCs w:val="28"/>
        </w:rPr>
      </w:pPr>
      <w:r w:rsidRPr="0096488C">
        <w:rPr>
          <w:rFonts w:eastAsia="Times New Roman" w:cs="Times New Roman"/>
          <w:szCs w:val="28"/>
        </w:rPr>
        <w:t>-</w:t>
      </w:r>
      <w:r w:rsidR="00B03318" w:rsidRPr="0096488C">
        <w:rPr>
          <w:rFonts w:eastAsia="Times New Roman" w:cs="Times New Roman"/>
          <w:szCs w:val="28"/>
        </w:rPr>
        <w:t xml:space="preserve"> Hỗ trợ t</w:t>
      </w:r>
      <w:r w:rsidR="00B03318" w:rsidRPr="0096488C">
        <w:rPr>
          <w:rFonts w:eastAsia="Times New Roman" w:cs="Times New Roman"/>
          <w:szCs w:val="28"/>
          <w:lang w:val="vi-VN"/>
        </w:rPr>
        <w:t>huê, mua các giải pháp chuyển đổi số để tự động hóa, nâng cao hiệu quả quy trình</w:t>
      </w:r>
      <w:r w:rsidR="00F621E1" w:rsidRPr="0096488C">
        <w:rPr>
          <w:rFonts w:eastAsia="Times New Roman" w:cs="Times New Roman"/>
          <w:szCs w:val="28"/>
        </w:rPr>
        <w:t xml:space="preserve"> </w:t>
      </w:r>
      <w:r w:rsidR="00F621E1" w:rsidRPr="0096488C">
        <w:rPr>
          <w:rFonts w:eastAsia="Times New Roman" w:cs="Times New Roman"/>
          <w:szCs w:val="28"/>
          <w:lang w:val="vi-VN"/>
        </w:rPr>
        <w:t xml:space="preserve">quản trị, </w:t>
      </w:r>
      <w:r w:rsidR="00B03318" w:rsidRPr="0096488C">
        <w:rPr>
          <w:rFonts w:eastAsia="Times New Roman" w:cs="Times New Roman"/>
          <w:szCs w:val="28"/>
          <w:lang w:val="vi-VN"/>
        </w:rPr>
        <w:t xml:space="preserve">sản xuất, </w:t>
      </w:r>
      <w:r w:rsidR="00F621E1" w:rsidRPr="0096488C">
        <w:rPr>
          <w:rFonts w:eastAsia="Times New Roman" w:cs="Times New Roman"/>
          <w:szCs w:val="28"/>
          <w:lang w:val="vi-VN"/>
        </w:rPr>
        <w:t>kinh doanh,</w:t>
      </w:r>
      <w:r w:rsidR="00F621E1" w:rsidRPr="0096488C">
        <w:rPr>
          <w:rFonts w:eastAsia="Times New Roman" w:cs="Times New Roman"/>
          <w:szCs w:val="28"/>
        </w:rPr>
        <w:t xml:space="preserve"> </w:t>
      </w:r>
      <w:r w:rsidR="00B03318" w:rsidRPr="0096488C">
        <w:rPr>
          <w:rFonts w:eastAsia="Times New Roman" w:cs="Times New Roman"/>
          <w:szCs w:val="28"/>
          <w:lang w:val="vi-VN"/>
        </w:rPr>
        <w:t>quy trình công nghệ cho tổ hợp tác, HTX, liên hiệp HTX</w:t>
      </w:r>
      <w:r w:rsidR="00B03318" w:rsidRPr="0096488C">
        <w:rPr>
          <w:rFonts w:eastAsia="Times New Roman" w:cs="Times New Roman"/>
          <w:szCs w:val="28"/>
        </w:rPr>
        <w:t xml:space="preserve">; </w:t>
      </w:r>
    </w:p>
    <w:p w14:paraId="07D6CED9" w14:textId="4506B958" w:rsidR="00B03318" w:rsidRPr="0096488C" w:rsidRDefault="00DD5940" w:rsidP="0096488C">
      <w:pPr>
        <w:shd w:val="clear" w:color="auto" w:fill="FFFFFF"/>
        <w:spacing w:before="60" w:after="60" w:line="264" w:lineRule="auto"/>
        <w:ind w:firstLine="709"/>
        <w:jc w:val="both"/>
        <w:rPr>
          <w:rFonts w:eastAsia="Times New Roman" w:cs="Times New Roman"/>
          <w:szCs w:val="28"/>
        </w:rPr>
      </w:pPr>
      <w:r w:rsidRPr="0096488C">
        <w:rPr>
          <w:rFonts w:eastAsia="Times New Roman" w:cs="Times New Roman"/>
          <w:szCs w:val="28"/>
        </w:rPr>
        <w:lastRenderedPageBreak/>
        <w:t>-</w:t>
      </w:r>
      <w:r w:rsidR="00B03318" w:rsidRPr="0096488C">
        <w:rPr>
          <w:rFonts w:eastAsia="Times New Roman" w:cs="Times New Roman"/>
          <w:szCs w:val="28"/>
        </w:rPr>
        <w:t xml:space="preserve"> Hỗ trợ t</w:t>
      </w:r>
      <w:r w:rsidR="00B03318" w:rsidRPr="0096488C">
        <w:rPr>
          <w:rFonts w:eastAsia="Times New Roman" w:cs="Times New Roman"/>
          <w:szCs w:val="28"/>
          <w:lang w:val="vi-VN"/>
        </w:rPr>
        <w:t>ư vấn xác lập quyền sở hữu trí tuệ</w:t>
      </w:r>
      <w:r w:rsidR="00B03318" w:rsidRPr="0096488C">
        <w:rPr>
          <w:rFonts w:eastAsia="Times New Roman" w:cs="Times New Roman"/>
          <w:szCs w:val="28"/>
        </w:rPr>
        <w:t>,</w:t>
      </w:r>
      <w:r w:rsidR="00B03318" w:rsidRPr="0096488C">
        <w:rPr>
          <w:rFonts w:eastAsia="Times New Roman" w:cs="Times New Roman"/>
          <w:szCs w:val="28"/>
          <w:lang w:val="vi-VN"/>
        </w:rPr>
        <w:t xml:space="preserve"> tư vấn quản lý và phát triển các sản phẩm, dịch vụ được bảo hộ quyền sở hữu trí tuệ</w:t>
      </w:r>
      <w:r w:rsidR="00B03318" w:rsidRPr="0096488C">
        <w:rPr>
          <w:rFonts w:eastAsia="Times New Roman" w:cs="Times New Roman"/>
          <w:szCs w:val="28"/>
        </w:rPr>
        <w:t>; t</w:t>
      </w:r>
      <w:r w:rsidR="00B03318" w:rsidRPr="0096488C">
        <w:rPr>
          <w:rFonts w:eastAsia="Times New Roman" w:cs="Times New Roman"/>
          <w:szCs w:val="28"/>
          <w:lang w:val="vi-VN"/>
        </w:rPr>
        <w:t>ư vấn chuyển giao công nghệ phù hợp</w:t>
      </w:r>
      <w:r w:rsidR="00B6693B" w:rsidRPr="0096488C">
        <w:rPr>
          <w:rFonts w:eastAsia="Times New Roman" w:cs="Times New Roman"/>
          <w:szCs w:val="28"/>
        </w:rPr>
        <w:t>;</w:t>
      </w:r>
    </w:p>
    <w:p w14:paraId="5557A7C2" w14:textId="43B7731C" w:rsidR="00B03318" w:rsidRPr="0096488C" w:rsidRDefault="00DD5940" w:rsidP="0096488C">
      <w:pPr>
        <w:spacing w:before="60" w:after="60" w:line="264" w:lineRule="auto"/>
        <w:ind w:firstLine="709"/>
        <w:jc w:val="both"/>
        <w:rPr>
          <w:rFonts w:cs="Times New Roman"/>
          <w:szCs w:val="28"/>
        </w:rPr>
      </w:pPr>
      <w:r w:rsidRPr="0096488C">
        <w:rPr>
          <w:rFonts w:eastAsia="Times New Roman" w:cs="Times New Roman"/>
          <w:szCs w:val="28"/>
        </w:rPr>
        <w:t>-</w:t>
      </w:r>
      <w:r w:rsidR="00B03318" w:rsidRPr="0096488C">
        <w:rPr>
          <w:rFonts w:eastAsia="Times New Roman" w:cs="Times New Roman"/>
          <w:szCs w:val="28"/>
        </w:rPr>
        <w:t xml:space="preserve"> Quy định trách nhiệm của </w:t>
      </w:r>
      <w:r w:rsidR="00B03318" w:rsidRPr="0096488C">
        <w:rPr>
          <w:rFonts w:eastAsia="Times New Roman" w:cs="Times New Roman"/>
          <w:szCs w:val="28"/>
          <w:lang w:val="vi-VN"/>
        </w:rPr>
        <w:t>Nhà nước</w:t>
      </w:r>
      <w:r w:rsidR="00B03318" w:rsidRPr="0096488C">
        <w:rPr>
          <w:rFonts w:eastAsia="Times New Roman" w:cs="Times New Roman"/>
          <w:szCs w:val="28"/>
        </w:rPr>
        <w:t xml:space="preserve"> trong việc</w:t>
      </w:r>
      <w:r w:rsidR="00B03318" w:rsidRPr="0096488C">
        <w:rPr>
          <w:rFonts w:eastAsia="Times New Roman" w:cs="Times New Roman"/>
          <w:szCs w:val="28"/>
          <w:lang w:val="vi-VN"/>
        </w:rPr>
        <w:t xml:space="preserve"> phát triển một số phần mềm, ứng dụng phục vụ cho sản xuất, kinh doanh để các tổ hợp tác, HTX, liên hiệp HTX dùng chung</w:t>
      </w:r>
      <w:r w:rsidR="00B03318" w:rsidRPr="0096488C">
        <w:rPr>
          <w:rFonts w:eastAsia="Times New Roman" w:cs="Times New Roman"/>
          <w:szCs w:val="28"/>
        </w:rPr>
        <w:t xml:space="preserve"> và không thu tiền; </w:t>
      </w:r>
      <w:r w:rsidR="00DF616F" w:rsidRPr="0096488C">
        <w:rPr>
          <w:rFonts w:eastAsia="Times New Roman" w:cs="Times New Roman"/>
          <w:szCs w:val="28"/>
        </w:rPr>
        <w:t xml:space="preserve">hỗ trợ </w:t>
      </w:r>
      <w:r w:rsidR="00B03318" w:rsidRPr="0096488C">
        <w:rPr>
          <w:rFonts w:eastAsia="Times New Roman" w:cs="Times New Roman"/>
          <w:szCs w:val="28"/>
        </w:rPr>
        <w:t>x</w:t>
      </w:r>
      <w:r w:rsidR="00B03318" w:rsidRPr="0096488C">
        <w:rPr>
          <w:rFonts w:eastAsia="Times New Roman" w:cs="Times New Roman"/>
          <w:szCs w:val="28"/>
          <w:lang w:val="nl-NL"/>
        </w:rPr>
        <w:t>ây dựng trang thông tin điện tử cho tổ hợp tác, HTX, liên hiệp HTX và kết nối với Hệ thống thông tin quốc gia về HTX</w:t>
      </w:r>
      <w:r w:rsidR="00B03318" w:rsidRPr="0096488C">
        <w:rPr>
          <w:rFonts w:cs="Times New Roman"/>
          <w:szCs w:val="28"/>
        </w:rPr>
        <w:t xml:space="preserve"> (phù hợp với Chỉ thị số 19/CT-TTg ngày 3/6/2023 của Thủ tướng Chính phủ về đẩy mạnh chuyển đổi số trong khu vực </w:t>
      </w:r>
      <w:r w:rsidR="005106E3" w:rsidRPr="0096488C">
        <w:rPr>
          <w:rFonts w:cs="Times New Roman"/>
          <w:szCs w:val="28"/>
        </w:rPr>
        <w:t>kinh tế tập thể</w:t>
      </w:r>
      <w:r w:rsidR="00B03318" w:rsidRPr="0096488C">
        <w:rPr>
          <w:rFonts w:cs="Times New Roman"/>
          <w:szCs w:val="28"/>
        </w:rPr>
        <w:t xml:space="preserve">, HTX). </w:t>
      </w:r>
    </w:p>
    <w:p w14:paraId="2F197491" w14:textId="03E2BB2B" w:rsidR="00B03318" w:rsidRPr="0096488C" w:rsidRDefault="00B03318" w:rsidP="0096488C">
      <w:pPr>
        <w:spacing w:before="60" w:after="60" w:line="264" w:lineRule="auto"/>
        <w:ind w:firstLine="709"/>
        <w:jc w:val="both"/>
        <w:rPr>
          <w:rFonts w:cs="Times New Roman"/>
          <w:szCs w:val="28"/>
        </w:rPr>
      </w:pPr>
      <w:r w:rsidRPr="0096488C">
        <w:rPr>
          <w:rFonts w:cs="Times New Roman"/>
          <w:szCs w:val="28"/>
        </w:rPr>
        <w:t xml:space="preserve">- Quy định </w:t>
      </w:r>
      <w:r w:rsidR="00AF49B3" w:rsidRPr="0096488C">
        <w:rPr>
          <w:rFonts w:cs="Times New Roman"/>
          <w:szCs w:val="28"/>
        </w:rPr>
        <w:t>về kinh phí hỗ trợ từ</w:t>
      </w:r>
      <w:r w:rsidRPr="0096488C">
        <w:rPr>
          <w:rFonts w:cs="Times New Roman"/>
          <w:szCs w:val="28"/>
        </w:rPr>
        <w:t xml:space="preserve"> </w:t>
      </w:r>
      <w:r w:rsidR="002C4FFB" w:rsidRPr="0096488C">
        <w:rPr>
          <w:rFonts w:cs="Times New Roman"/>
          <w:szCs w:val="28"/>
        </w:rPr>
        <w:t>NSNN</w:t>
      </w:r>
      <w:r w:rsidRPr="0096488C">
        <w:rPr>
          <w:rFonts w:cs="Times New Roman"/>
          <w:szCs w:val="28"/>
        </w:rPr>
        <w:t xml:space="preserve"> </w:t>
      </w:r>
      <w:r w:rsidR="00AF49B3" w:rsidRPr="0096488C">
        <w:rPr>
          <w:rFonts w:cs="Times New Roman"/>
          <w:szCs w:val="28"/>
        </w:rPr>
        <w:t>tương tự như tại khoản 3 Điều 7 dự thảo Nghị định</w:t>
      </w:r>
      <w:r w:rsidRPr="0096488C">
        <w:rPr>
          <w:rFonts w:cs="Times New Roman"/>
          <w:szCs w:val="28"/>
        </w:rPr>
        <w:t>.</w:t>
      </w:r>
    </w:p>
    <w:p w14:paraId="1CF72752" w14:textId="1915CBCC" w:rsidR="007938F5" w:rsidRPr="0096488C" w:rsidRDefault="009E4CEF" w:rsidP="0096488C">
      <w:pPr>
        <w:spacing w:before="60" w:after="60" w:line="264" w:lineRule="auto"/>
        <w:ind w:firstLine="720"/>
        <w:jc w:val="both"/>
        <w:rPr>
          <w:rFonts w:cs="Times New Roman"/>
          <w:szCs w:val="28"/>
        </w:rPr>
      </w:pPr>
      <w:r w:rsidRPr="0096488C">
        <w:rPr>
          <w:rFonts w:eastAsia="Times New Roman" w:cs="Times New Roman"/>
          <w:szCs w:val="28"/>
          <w:lang w:val="nl-NL"/>
        </w:rPr>
        <w:t>c</w:t>
      </w:r>
      <w:r w:rsidR="007D0EF7" w:rsidRPr="0096488C">
        <w:rPr>
          <w:rFonts w:eastAsia="Times New Roman" w:cs="Times New Roman"/>
          <w:szCs w:val="28"/>
          <w:lang w:val="nl-NL"/>
        </w:rPr>
        <w:t>)</w:t>
      </w:r>
      <w:r w:rsidR="007938F5" w:rsidRPr="0096488C">
        <w:rPr>
          <w:rFonts w:cs="Times New Roman"/>
          <w:szCs w:val="28"/>
          <w:lang w:val="nl-NL"/>
        </w:rPr>
        <w:t xml:space="preserve"> Quy định </w:t>
      </w:r>
      <w:r w:rsidR="00AE3492" w:rsidRPr="0096488C">
        <w:rPr>
          <w:rFonts w:cs="Times New Roman"/>
          <w:szCs w:val="28"/>
          <w:lang w:val="nl-NL"/>
        </w:rPr>
        <w:t>về</w:t>
      </w:r>
      <w:r w:rsidR="007D0EF7" w:rsidRPr="0096488C">
        <w:rPr>
          <w:rFonts w:cs="Times New Roman"/>
          <w:szCs w:val="28"/>
          <w:lang w:val="nl-NL"/>
        </w:rPr>
        <w:t xml:space="preserve"> </w:t>
      </w:r>
      <w:r w:rsidR="007938F5" w:rsidRPr="0096488C">
        <w:rPr>
          <w:rFonts w:cs="Times New Roman"/>
          <w:szCs w:val="28"/>
        </w:rPr>
        <w:t>chính sách</w:t>
      </w:r>
      <w:r w:rsidR="00D928EA" w:rsidRPr="0096488C">
        <w:rPr>
          <w:rFonts w:cs="Times New Roman"/>
          <w:szCs w:val="28"/>
        </w:rPr>
        <w:t xml:space="preserve"> hỗ trợ</w:t>
      </w:r>
      <w:r w:rsidR="007938F5" w:rsidRPr="0096488C">
        <w:rPr>
          <w:rFonts w:cs="Times New Roman"/>
          <w:szCs w:val="28"/>
        </w:rPr>
        <w:t xml:space="preserve"> tiếp cận và nghiên cứu thị trường</w:t>
      </w:r>
      <w:r w:rsidR="007938F5" w:rsidRPr="0096488C">
        <w:rPr>
          <w:rFonts w:cs="Times New Roman"/>
          <w:szCs w:val="28"/>
          <w:lang w:val="it-IT" w:eastAsia="ar-SA"/>
        </w:rPr>
        <w:t xml:space="preserve"> </w:t>
      </w:r>
      <w:r w:rsidR="00DD5940" w:rsidRPr="0096488C">
        <w:rPr>
          <w:rFonts w:cs="Times New Roman"/>
          <w:szCs w:val="28"/>
          <w:lang w:val="it-IT" w:eastAsia="ar-SA"/>
        </w:rPr>
        <w:t>cho c</w:t>
      </w:r>
      <w:r w:rsidR="00DD5940" w:rsidRPr="0096488C">
        <w:rPr>
          <w:rFonts w:cs="Times New Roman"/>
          <w:szCs w:val="28"/>
          <w:shd w:val="clear" w:color="auto" w:fill="FFFFFF"/>
          <w:lang w:val="nl-NL"/>
        </w:rPr>
        <w:t>ác tổ hợp tác, HTX, liên hiệp HTX</w:t>
      </w:r>
      <w:r w:rsidR="00DD5940" w:rsidRPr="0096488C">
        <w:rPr>
          <w:rFonts w:cs="Times New Roman"/>
          <w:szCs w:val="28"/>
          <w:lang w:val="it-IT" w:eastAsia="ar-SA"/>
        </w:rPr>
        <w:t xml:space="preserve"> </w:t>
      </w:r>
      <w:r w:rsidR="007938F5" w:rsidRPr="0096488C">
        <w:rPr>
          <w:rFonts w:cs="Times New Roman"/>
          <w:szCs w:val="28"/>
          <w:lang w:val="it-IT" w:eastAsia="ar-SA"/>
        </w:rPr>
        <w:t>tại Điều 1</w:t>
      </w:r>
      <w:r w:rsidR="004E3479" w:rsidRPr="0096488C">
        <w:rPr>
          <w:rFonts w:cs="Times New Roman"/>
          <w:szCs w:val="28"/>
          <w:lang w:val="it-IT" w:eastAsia="ar-SA"/>
        </w:rPr>
        <w:t>2</w:t>
      </w:r>
      <w:r w:rsidR="007938F5" w:rsidRPr="0096488C">
        <w:rPr>
          <w:rFonts w:cs="Times New Roman"/>
          <w:szCs w:val="28"/>
          <w:lang w:val="it-IT" w:eastAsia="ar-SA"/>
        </w:rPr>
        <w:t xml:space="preserve"> </w:t>
      </w:r>
      <w:r w:rsidR="007938F5" w:rsidRPr="0096488C">
        <w:rPr>
          <w:rFonts w:cs="Times New Roman"/>
          <w:szCs w:val="28"/>
        </w:rPr>
        <w:t>dự thảo Nghị định, cụ thể:</w:t>
      </w:r>
    </w:p>
    <w:p w14:paraId="63E69F7A" w14:textId="643F148D" w:rsidR="00142460" w:rsidRPr="0096488C" w:rsidRDefault="00142460" w:rsidP="0096488C">
      <w:pPr>
        <w:shd w:val="clear" w:color="auto" w:fill="FFFFFF"/>
        <w:spacing w:before="60" w:after="60" w:line="264" w:lineRule="auto"/>
        <w:ind w:firstLine="709"/>
        <w:jc w:val="both"/>
        <w:rPr>
          <w:rFonts w:cs="Times New Roman"/>
          <w:szCs w:val="28"/>
          <w:lang w:val="de-DE"/>
        </w:rPr>
      </w:pPr>
      <w:r w:rsidRPr="0096488C">
        <w:rPr>
          <w:rFonts w:cs="Times New Roman"/>
          <w:szCs w:val="28"/>
          <w:lang w:val="de-DE"/>
        </w:rPr>
        <w:t xml:space="preserve">- </w:t>
      </w:r>
      <w:r w:rsidRPr="0096488C">
        <w:rPr>
          <w:rFonts w:cs="Times New Roman"/>
          <w:szCs w:val="28"/>
        </w:rPr>
        <w:t xml:space="preserve">Bổ sung hỗ trợ </w:t>
      </w:r>
      <w:r w:rsidRPr="0096488C">
        <w:rPr>
          <w:rFonts w:cs="Times New Roman"/>
          <w:szCs w:val="28"/>
          <w:lang w:val="de-DE"/>
        </w:rPr>
        <w:t xml:space="preserve">thông tin về </w:t>
      </w:r>
      <w:r w:rsidRPr="0096488C">
        <w:rPr>
          <w:rFonts w:cs="Times New Roman"/>
          <w:szCs w:val="28"/>
          <w:lang w:val="vi-VN"/>
        </w:rPr>
        <w:t>p</w:t>
      </w:r>
      <w:r w:rsidRPr="0096488C">
        <w:rPr>
          <w:rFonts w:cs="Times New Roman"/>
          <w:szCs w:val="28"/>
          <w:shd w:val="clear" w:color="auto" w:fill="FFFFFF"/>
          <w:lang w:val="de-DE"/>
        </w:rPr>
        <w:t>háp lý, kinh tế; khảo sát và nghiên cứu thị trường; thông tin dự báo, cảnh báo các biện pháp phòng vệ thương mại áp dụng đối với hàng hóa xuất khẩu của Việt Nam</w:t>
      </w:r>
      <w:r w:rsidRPr="0096488C">
        <w:rPr>
          <w:rFonts w:cs="Times New Roman"/>
          <w:szCs w:val="28"/>
          <w:lang w:val="de-DE"/>
        </w:rPr>
        <w:t xml:space="preserve"> trên Cổng thông </w:t>
      </w:r>
      <w:r w:rsidRPr="0096488C">
        <w:rPr>
          <w:rFonts w:cs="Times New Roman"/>
          <w:szCs w:val="28"/>
          <w:shd w:val="clear" w:color="auto" w:fill="FFFFFF"/>
          <w:lang w:val="de-DE"/>
        </w:rPr>
        <w:t xml:space="preserve">tin quốc gia về </w:t>
      </w:r>
      <w:r w:rsidR="003F3123" w:rsidRPr="0096488C">
        <w:rPr>
          <w:rFonts w:cs="Times New Roman"/>
          <w:szCs w:val="28"/>
          <w:shd w:val="clear" w:color="auto" w:fill="FFFFFF"/>
          <w:lang w:val="de-DE"/>
        </w:rPr>
        <w:t>HTX</w:t>
      </w:r>
      <w:r w:rsidRPr="0096488C">
        <w:rPr>
          <w:rFonts w:cs="Times New Roman"/>
          <w:szCs w:val="28"/>
          <w:lang w:val="de-DE"/>
        </w:rPr>
        <w:t xml:space="preserve"> và các trang thông tin điện tử của các bộ, cơ quan để phù hợp với Điều 25 Luật HTX năm 2023;</w:t>
      </w:r>
    </w:p>
    <w:p w14:paraId="2180FF29" w14:textId="3CB58EA5" w:rsidR="00142460" w:rsidRPr="0096488C" w:rsidRDefault="00142460" w:rsidP="0096488C">
      <w:pPr>
        <w:shd w:val="clear" w:color="auto" w:fill="FFFFFF"/>
        <w:spacing w:before="60" w:after="60" w:line="264" w:lineRule="auto"/>
        <w:ind w:firstLine="709"/>
        <w:jc w:val="both"/>
        <w:rPr>
          <w:rFonts w:cs="Times New Roman"/>
          <w:szCs w:val="28"/>
        </w:rPr>
      </w:pPr>
      <w:r w:rsidRPr="0096488C">
        <w:rPr>
          <w:rFonts w:cs="Times New Roman"/>
          <w:szCs w:val="28"/>
        </w:rPr>
        <w:t>- Bổ sung</w:t>
      </w:r>
      <w:r w:rsidRPr="0096488C">
        <w:rPr>
          <w:rFonts w:cs="Times New Roman"/>
          <w:szCs w:val="28"/>
          <w:lang w:val="de-DE"/>
        </w:rPr>
        <w:t xml:space="preserve"> ưu tiên, hỗ trợ tham gia chương trình sản phẩm, hàng hóa và dịch vụ có nguồn gốc địa phương, có đặc trưng về giá trị kinh tế, văn hóa, lợi thế của địa phương để </w:t>
      </w:r>
      <w:r w:rsidR="00F74F06" w:rsidRPr="0096488C">
        <w:rPr>
          <w:rFonts w:cs="Times New Roman"/>
          <w:szCs w:val="28"/>
          <w:lang w:val="de-DE"/>
        </w:rPr>
        <w:t xml:space="preserve">thúc đẩy khai thác, phát triển các sản phẩm truyền thống, có lợi thế cạnh tranh của mỗi địa phương, vùng miền, </w:t>
      </w:r>
      <w:r w:rsidRPr="0096488C">
        <w:rPr>
          <w:rFonts w:cs="Times New Roman"/>
          <w:szCs w:val="28"/>
          <w:lang w:val="de-DE"/>
        </w:rPr>
        <w:t>phù hợp với Điều 25 Luật HTX năm 2023</w:t>
      </w:r>
      <w:r w:rsidR="00DF616F" w:rsidRPr="0096488C">
        <w:rPr>
          <w:rFonts w:cs="Times New Roman"/>
          <w:szCs w:val="28"/>
          <w:lang w:val="de-DE"/>
        </w:rPr>
        <w:t>;</w:t>
      </w:r>
    </w:p>
    <w:p w14:paraId="6B134488" w14:textId="14347EC6" w:rsidR="00BD7F96" w:rsidRPr="0096488C" w:rsidRDefault="00DF67F2" w:rsidP="0096488C">
      <w:pPr>
        <w:spacing w:before="60" w:after="60" w:line="264" w:lineRule="auto"/>
        <w:ind w:firstLine="720"/>
        <w:jc w:val="both"/>
        <w:rPr>
          <w:rFonts w:cs="Times New Roman"/>
          <w:szCs w:val="28"/>
        </w:rPr>
      </w:pPr>
      <w:r w:rsidRPr="0096488C">
        <w:rPr>
          <w:rFonts w:cs="Times New Roman"/>
          <w:szCs w:val="28"/>
        </w:rPr>
        <w:t xml:space="preserve">- Quy định về kinh phí hỗ trợ từ </w:t>
      </w:r>
      <w:r w:rsidR="002C4FFB" w:rsidRPr="0096488C">
        <w:rPr>
          <w:rFonts w:cs="Times New Roman"/>
          <w:szCs w:val="28"/>
        </w:rPr>
        <w:t>NSNN</w:t>
      </w:r>
      <w:r w:rsidRPr="0096488C">
        <w:rPr>
          <w:rFonts w:cs="Times New Roman"/>
          <w:szCs w:val="28"/>
        </w:rPr>
        <w:t xml:space="preserve"> tương tự như tại khoản 3 Điều 7 dự thảo Nghị định.</w:t>
      </w:r>
      <w:r w:rsidR="00BD7F96" w:rsidRPr="0096488C">
        <w:rPr>
          <w:rFonts w:cs="Times New Roman"/>
          <w:szCs w:val="28"/>
        </w:rPr>
        <w:t xml:space="preserve"> </w:t>
      </w:r>
    </w:p>
    <w:p w14:paraId="77F905B7" w14:textId="6B7257E7" w:rsidR="007938F5" w:rsidRPr="0096488C" w:rsidRDefault="00142460" w:rsidP="0096488C">
      <w:pPr>
        <w:spacing w:before="60" w:after="60" w:line="264" w:lineRule="auto"/>
        <w:ind w:firstLine="720"/>
        <w:jc w:val="both"/>
        <w:rPr>
          <w:rFonts w:cs="Times New Roman"/>
          <w:szCs w:val="28"/>
          <w:u w:val="single"/>
        </w:rPr>
      </w:pPr>
      <w:r w:rsidRPr="0096488C">
        <w:rPr>
          <w:rFonts w:cs="Times New Roman"/>
          <w:szCs w:val="28"/>
          <w:lang w:val="nl-NL"/>
        </w:rPr>
        <w:t>d</w:t>
      </w:r>
      <w:r w:rsidR="008A5E15" w:rsidRPr="0096488C">
        <w:rPr>
          <w:rFonts w:cs="Times New Roman"/>
          <w:szCs w:val="28"/>
          <w:lang w:val="nl-NL"/>
        </w:rPr>
        <w:t>)</w:t>
      </w:r>
      <w:r w:rsidR="007938F5" w:rsidRPr="0096488C">
        <w:rPr>
          <w:rFonts w:cs="Times New Roman"/>
          <w:szCs w:val="28"/>
          <w:lang w:val="nl-NL"/>
        </w:rPr>
        <w:t xml:space="preserve"> Quy định </w:t>
      </w:r>
      <w:r w:rsidRPr="0096488C">
        <w:rPr>
          <w:rFonts w:cs="Times New Roman"/>
          <w:szCs w:val="28"/>
          <w:lang w:val="nl-NL"/>
        </w:rPr>
        <w:t xml:space="preserve">về </w:t>
      </w:r>
      <w:r w:rsidR="007938F5" w:rsidRPr="0096488C">
        <w:rPr>
          <w:rFonts w:cs="Times New Roman"/>
          <w:szCs w:val="28"/>
        </w:rPr>
        <w:t>chính sách</w:t>
      </w:r>
      <w:r w:rsidR="00D928EA" w:rsidRPr="0096488C">
        <w:rPr>
          <w:rFonts w:cs="Times New Roman"/>
          <w:szCs w:val="28"/>
        </w:rPr>
        <w:t xml:space="preserve"> hỗ trợ</w:t>
      </w:r>
      <w:r w:rsidR="007938F5" w:rsidRPr="0096488C">
        <w:rPr>
          <w:rFonts w:cs="Times New Roman"/>
          <w:szCs w:val="28"/>
        </w:rPr>
        <w:t xml:space="preserve"> đầu tư phát triển kết cấu hạ tầng, trang thiết bị </w:t>
      </w:r>
      <w:r w:rsidR="007938F5" w:rsidRPr="0096488C">
        <w:rPr>
          <w:rFonts w:cs="Times New Roman"/>
          <w:szCs w:val="28"/>
          <w:lang w:val="it-IT" w:eastAsia="ar-SA"/>
        </w:rPr>
        <w:t>tại Điều 1</w:t>
      </w:r>
      <w:r w:rsidR="004E3479" w:rsidRPr="0096488C">
        <w:rPr>
          <w:rFonts w:cs="Times New Roman"/>
          <w:szCs w:val="28"/>
          <w:lang w:val="it-IT" w:eastAsia="ar-SA"/>
        </w:rPr>
        <w:t>3</w:t>
      </w:r>
      <w:r w:rsidR="00B96A80" w:rsidRPr="0096488C">
        <w:rPr>
          <w:rFonts w:cs="Times New Roman"/>
          <w:szCs w:val="28"/>
          <w:lang w:val="it-IT" w:eastAsia="ar-SA"/>
        </w:rPr>
        <w:t>, 14</w:t>
      </w:r>
      <w:r w:rsidR="00EE3706" w:rsidRPr="0096488C">
        <w:rPr>
          <w:rFonts w:cs="Times New Roman"/>
          <w:szCs w:val="28"/>
          <w:lang w:val="it-IT" w:eastAsia="ar-SA"/>
        </w:rPr>
        <w:t xml:space="preserve"> </w:t>
      </w:r>
      <w:r w:rsidR="007938F5" w:rsidRPr="0096488C">
        <w:rPr>
          <w:rFonts w:cs="Times New Roman"/>
          <w:szCs w:val="28"/>
        </w:rPr>
        <w:t>dự thảo Nghị định, cụ thể:</w:t>
      </w:r>
    </w:p>
    <w:p w14:paraId="6BA0D93D" w14:textId="281B0506" w:rsidR="00D93E42" w:rsidRPr="0096488C" w:rsidRDefault="00B96A80" w:rsidP="0096488C">
      <w:pPr>
        <w:shd w:val="clear" w:color="auto" w:fill="FFFFFF"/>
        <w:spacing w:before="60" w:after="60" w:line="264" w:lineRule="auto"/>
        <w:ind w:firstLine="709"/>
        <w:jc w:val="both"/>
        <w:rPr>
          <w:rFonts w:cs="Times New Roman"/>
          <w:szCs w:val="28"/>
          <w:shd w:val="clear" w:color="auto" w:fill="FFFFFF"/>
          <w:lang w:val="de-DE"/>
        </w:rPr>
      </w:pPr>
      <w:r w:rsidRPr="0096488C">
        <w:rPr>
          <w:rFonts w:cs="Times New Roman"/>
          <w:szCs w:val="28"/>
          <w:shd w:val="clear" w:color="auto" w:fill="FFFFFF"/>
          <w:lang w:val="de-DE"/>
        </w:rPr>
        <w:t>-</w:t>
      </w:r>
      <w:r w:rsidR="00D93E42" w:rsidRPr="0096488C">
        <w:rPr>
          <w:rFonts w:cs="Times New Roman"/>
          <w:szCs w:val="28"/>
          <w:shd w:val="clear" w:color="auto" w:fill="FFFFFF"/>
          <w:lang w:val="de-DE"/>
        </w:rPr>
        <w:t xml:space="preserve"> Đối tượng hỗ trợ: Các tổ hợp tác, </w:t>
      </w:r>
      <w:r w:rsidR="00C54D58" w:rsidRPr="0096488C">
        <w:rPr>
          <w:rFonts w:cs="Times New Roman"/>
          <w:szCs w:val="28"/>
          <w:shd w:val="clear" w:color="auto" w:fill="FFFFFF"/>
          <w:lang w:val="de-DE"/>
        </w:rPr>
        <w:t>HTX</w:t>
      </w:r>
      <w:r w:rsidR="00D93E42" w:rsidRPr="0096488C">
        <w:rPr>
          <w:rFonts w:cs="Times New Roman"/>
          <w:szCs w:val="28"/>
          <w:shd w:val="clear" w:color="auto" w:fill="FFFFFF"/>
          <w:lang w:val="de-DE"/>
        </w:rPr>
        <w:t xml:space="preserve">, liên hiệp </w:t>
      </w:r>
      <w:r w:rsidR="00C54D58" w:rsidRPr="0096488C">
        <w:rPr>
          <w:rFonts w:cs="Times New Roman"/>
          <w:szCs w:val="28"/>
          <w:shd w:val="clear" w:color="auto" w:fill="FFFFFF"/>
          <w:lang w:val="de-DE"/>
        </w:rPr>
        <w:t>HTX</w:t>
      </w:r>
      <w:r w:rsidR="00D93E42" w:rsidRPr="0096488C">
        <w:rPr>
          <w:rFonts w:cs="Times New Roman"/>
          <w:szCs w:val="28"/>
          <w:shd w:val="clear" w:color="auto" w:fill="FFFFFF"/>
          <w:lang w:val="de-DE"/>
        </w:rPr>
        <w:t xml:space="preserve"> hoạt động trong tất cả các ngành, lĩnh vực.</w:t>
      </w:r>
    </w:p>
    <w:p w14:paraId="5074ED82" w14:textId="4DF89ABB" w:rsidR="00B96A80" w:rsidRPr="0096488C" w:rsidRDefault="00B96A80" w:rsidP="0096488C">
      <w:pPr>
        <w:spacing w:before="60" w:after="60" w:line="264" w:lineRule="auto"/>
        <w:ind w:firstLine="706"/>
        <w:jc w:val="both"/>
        <w:rPr>
          <w:rFonts w:cs="Times New Roman"/>
          <w:szCs w:val="28"/>
          <w:shd w:val="clear" w:color="auto" w:fill="FFFFFF"/>
          <w:lang w:val="nl-NL"/>
        </w:rPr>
      </w:pPr>
      <w:r w:rsidRPr="0096488C">
        <w:rPr>
          <w:rFonts w:cs="Times New Roman"/>
          <w:szCs w:val="28"/>
          <w:shd w:val="clear" w:color="auto" w:fill="FFFFFF"/>
          <w:lang w:val="de-DE"/>
        </w:rPr>
        <w:t xml:space="preserve">- </w:t>
      </w:r>
      <w:r w:rsidRPr="0096488C">
        <w:rPr>
          <w:rFonts w:cs="Times New Roman"/>
          <w:iCs/>
          <w:szCs w:val="28"/>
          <w:lang w:val="da-DK"/>
        </w:rPr>
        <w:t xml:space="preserve">Hình thức hỗ trợ theo dự án phù hợp với phân loại theo pháp luật đầu tư công, mức hỗ trợ tối đa 100% tổng mức đầu tư từ nguồn </w:t>
      </w:r>
      <w:r w:rsidR="002C4FFB" w:rsidRPr="0096488C">
        <w:rPr>
          <w:rFonts w:cs="Times New Roman"/>
          <w:iCs/>
          <w:szCs w:val="28"/>
          <w:lang w:val="da-DK"/>
        </w:rPr>
        <w:t>NSNN</w:t>
      </w:r>
      <w:r w:rsidR="00675F06" w:rsidRPr="0096488C">
        <w:rPr>
          <w:rFonts w:cs="Times New Roman"/>
          <w:iCs/>
          <w:szCs w:val="28"/>
          <w:lang w:val="da-DK"/>
        </w:rPr>
        <w:t xml:space="preserve">. Do hiện nay </w:t>
      </w:r>
      <w:r w:rsidR="0085518F" w:rsidRPr="0096488C">
        <w:rPr>
          <w:rFonts w:cs="Times New Roman"/>
          <w:iCs/>
          <w:szCs w:val="28"/>
          <w:lang w:val="da-DK"/>
        </w:rPr>
        <w:t>pháp luật</w:t>
      </w:r>
      <w:r w:rsidR="00675F06" w:rsidRPr="0096488C">
        <w:rPr>
          <w:rFonts w:cs="Times New Roman"/>
          <w:iCs/>
          <w:szCs w:val="28"/>
          <w:lang w:val="da-DK"/>
        </w:rPr>
        <w:t xml:space="preserve"> về đầu tư chưa có quy định cụ thể quy trình thực hiện đối với </w:t>
      </w:r>
      <w:r w:rsidR="00E55C42" w:rsidRPr="0096488C">
        <w:rPr>
          <w:rFonts w:cs="Times New Roman"/>
          <w:iCs/>
          <w:szCs w:val="28"/>
          <w:lang w:val="da-DK"/>
        </w:rPr>
        <w:t xml:space="preserve">các </w:t>
      </w:r>
      <w:r w:rsidR="00675F06" w:rsidRPr="0096488C">
        <w:rPr>
          <w:rFonts w:cs="Times New Roman"/>
          <w:iCs/>
          <w:szCs w:val="28"/>
          <w:lang w:val="da-DK"/>
        </w:rPr>
        <w:t xml:space="preserve">dự án </w:t>
      </w:r>
      <w:r w:rsidR="00675F06" w:rsidRPr="0096488C">
        <w:rPr>
          <w:szCs w:val="28"/>
          <w:shd w:val="clear" w:color="auto" w:fill="FFFFFF"/>
          <w:lang w:val="nl-NL"/>
        </w:rPr>
        <w:t xml:space="preserve">đầu tư </w:t>
      </w:r>
      <w:r w:rsidR="00E55C42" w:rsidRPr="0096488C">
        <w:rPr>
          <w:szCs w:val="28"/>
          <w:shd w:val="clear" w:color="auto" w:fill="FFFFFF"/>
          <w:lang w:val="nl-NL"/>
        </w:rPr>
        <w:t xml:space="preserve">cho đối tượng tổ hợp tác, HTX, liên hiệp HTX, vì vậy dự thảo Nghị định quy định rõ </w:t>
      </w:r>
      <w:r w:rsidR="00675F06" w:rsidRPr="0096488C">
        <w:rPr>
          <w:szCs w:val="28"/>
          <w:shd w:val="clear" w:color="auto" w:fill="FFFFFF"/>
          <w:lang w:val="nl-NL"/>
        </w:rPr>
        <w:t>q</w:t>
      </w:r>
      <w:r w:rsidR="00675F06" w:rsidRPr="0096488C">
        <w:rPr>
          <w:spacing w:val="-2"/>
          <w:szCs w:val="28"/>
          <w:shd w:val="clear" w:color="auto" w:fill="FFFFFF"/>
          <w:lang w:val="nl-NL"/>
        </w:rPr>
        <w:t>uy trình đề xuất, tổng hợp, lập, thẩm định, quyết định chủ trương đầu tư, quyết định và giao kế hoạch vốn đầu tư nguồn ngân sách trung ương hỗ trợ dự án đầu tư phát triển kết cấu hạ tầng, trang thiết bị do ủy ban nhân dân cấp tỉnh quản lý</w:t>
      </w:r>
      <w:r w:rsidR="00E55C42" w:rsidRPr="0096488C">
        <w:rPr>
          <w:spacing w:val="-2"/>
          <w:szCs w:val="28"/>
          <w:shd w:val="clear" w:color="auto" w:fill="FFFFFF"/>
          <w:lang w:val="nl-NL"/>
        </w:rPr>
        <w:t xml:space="preserve"> trên cơ sở pháp luật về đầu tư</w:t>
      </w:r>
      <w:r w:rsidR="00920251" w:rsidRPr="0096488C">
        <w:rPr>
          <w:spacing w:val="-2"/>
          <w:szCs w:val="28"/>
          <w:shd w:val="clear" w:color="auto" w:fill="FFFFFF"/>
          <w:lang w:val="nl-NL"/>
        </w:rPr>
        <w:t xml:space="preserve"> công, về NSNN</w:t>
      </w:r>
      <w:r w:rsidR="00E55C42" w:rsidRPr="0096488C">
        <w:rPr>
          <w:spacing w:val="-2"/>
          <w:szCs w:val="28"/>
          <w:shd w:val="clear" w:color="auto" w:fill="FFFFFF"/>
          <w:lang w:val="nl-NL"/>
        </w:rPr>
        <w:t>;</w:t>
      </w:r>
      <w:r w:rsidR="00675F06" w:rsidRPr="0096488C">
        <w:rPr>
          <w:rFonts w:cs="Times New Roman"/>
          <w:iCs/>
          <w:szCs w:val="28"/>
          <w:lang w:val="da-DK"/>
        </w:rPr>
        <w:t xml:space="preserve"> </w:t>
      </w:r>
      <w:r w:rsidRPr="0096488C">
        <w:rPr>
          <w:rFonts w:cs="Times New Roman"/>
          <w:iCs/>
          <w:szCs w:val="28"/>
          <w:lang w:val="da-DK"/>
        </w:rPr>
        <w:t xml:space="preserve">quy định chi tiết phương thức thực hiện hỗ trợ và cơ chế quản lý sau đầu tư đối với dự án dùng riêng hoặc dùng chung cho nhiều </w:t>
      </w:r>
      <w:r w:rsidR="00685BA1" w:rsidRPr="0096488C">
        <w:rPr>
          <w:rFonts w:cs="Times New Roman"/>
          <w:iCs/>
          <w:szCs w:val="28"/>
          <w:lang w:val="da-DK"/>
        </w:rPr>
        <w:t>tổ hợp tác, HTX, liên hiệp HTX</w:t>
      </w:r>
      <w:r w:rsidRPr="0096488C">
        <w:rPr>
          <w:rFonts w:cs="Times New Roman"/>
          <w:iCs/>
          <w:szCs w:val="28"/>
          <w:lang w:val="da-DK"/>
        </w:rPr>
        <w:t>,</w:t>
      </w:r>
      <w:r w:rsidR="00E55C42" w:rsidRPr="0096488C">
        <w:rPr>
          <w:rFonts w:cs="Times New Roman"/>
          <w:iCs/>
          <w:szCs w:val="28"/>
          <w:lang w:val="da-DK"/>
        </w:rPr>
        <w:t xml:space="preserve"> trong đó quy định</w:t>
      </w:r>
      <w:r w:rsidRPr="0096488C">
        <w:rPr>
          <w:rFonts w:cs="Times New Roman"/>
          <w:iCs/>
          <w:szCs w:val="28"/>
          <w:lang w:val="da-DK"/>
        </w:rPr>
        <w:t xml:space="preserve"> tài sản Nhà nước </w:t>
      </w:r>
      <w:r w:rsidRPr="0096488C">
        <w:rPr>
          <w:rFonts w:cs="Times New Roman"/>
          <w:iCs/>
          <w:szCs w:val="28"/>
          <w:lang w:val="da-DK"/>
        </w:rPr>
        <w:lastRenderedPageBreak/>
        <w:t xml:space="preserve">hỗ trợ </w:t>
      </w:r>
      <w:r w:rsidRPr="0096488C">
        <w:rPr>
          <w:rFonts w:cs="Times New Roman"/>
          <w:szCs w:val="28"/>
          <w:shd w:val="clear" w:color="auto" w:fill="FFFFFF"/>
          <w:lang w:val="nl-NL"/>
        </w:rPr>
        <w:t xml:space="preserve">là tài sản chung của tổ hợp tác, tài sản chung không chia của </w:t>
      </w:r>
      <w:r w:rsidR="003F3123" w:rsidRPr="0096488C">
        <w:rPr>
          <w:rFonts w:cs="Times New Roman"/>
          <w:szCs w:val="28"/>
          <w:shd w:val="clear" w:color="auto" w:fill="FFFFFF"/>
          <w:lang w:val="nl-NL"/>
        </w:rPr>
        <w:t>HTX</w:t>
      </w:r>
      <w:r w:rsidRPr="0096488C">
        <w:rPr>
          <w:rFonts w:cs="Times New Roman"/>
          <w:szCs w:val="28"/>
          <w:shd w:val="clear" w:color="auto" w:fill="FFFFFF"/>
          <w:lang w:val="nl-NL"/>
        </w:rPr>
        <w:t xml:space="preserve">, liên hiệp </w:t>
      </w:r>
      <w:r w:rsidR="003F3123" w:rsidRPr="0096488C">
        <w:rPr>
          <w:rFonts w:cs="Times New Roman"/>
          <w:szCs w:val="28"/>
          <w:shd w:val="clear" w:color="auto" w:fill="FFFFFF"/>
          <w:lang w:val="nl-NL"/>
        </w:rPr>
        <w:t>HTX</w:t>
      </w:r>
      <w:r w:rsidRPr="0096488C">
        <w:rPr>
          <w:rFonts w:cs="Times New Roman"/>
          <w:szCs w:val="28"/>
          <w:shd w:val="clear" w:color="auto" w:fill="FFFFFF"/>
          <w:lang w:val="nl-NL"/>
        </w:rPr>
        <w:t xml:space="preserve"> (Điều 13 dự thảo Nghị định)</w:t>
      </w:r>
      <w:r w:rsidR="0024492D" w:rsidRPr="0096488C">
        <w:rPr>
          <w:rFonts w:cs="Times New Roman"/>
          <w:szCs w:val="28"/>
          <w:shd w:val="clear" w:color="auto" w:fill="FFFFFF"/>
          <w:lang w:val="nl-NL"/>
        </w:rPr>
        <w:t>;</w:t>
      </w:r>
    </w:p>
    <w:p w14:paraId="60621EFA" w14:textId="3929315E" w:rsidR="00B96A80" w:rsidRPr="0096488C" w:rsidRDefault="00B96A80" w:rsidP="0096488C">
      <w:pPr>
        <w:pStyle w:val="NormalWeb"/>
        <w:shd w:val="clear" w:color="auto" w:fill="FFFFFF"/>
        <w:spacing w:before="60" w:beforeAutospacing="0" w:after="60" w:afterAutospacing="0" w:line="264" w:lineRule="auto"/>
        <w:ind w:firstLine="720"/>
        <w:jc w:val="both"/>
        <w:rPr>
          <w:rFonts w:eastAsiaTheme="minorHAnsi"/>
          <w:iCs/>
          <w:sz w:val="28"/>
          <w:szCs w:val="28"/>
          <w:lang w:val="da-DK"/>
        </w:rPr>
      </w:pPr>
      <w:r w:rsidRPr="0096488C">
        <w:rPr>
          <w:rFonts w:eastAsiaTheme="minorHAnsi"/>
          <w:iCs/>
          <w:sz w:val="28"/>
          <w:szCs w:val="28"/>
          <w:lang w:val="da-DK"/>
        </w:rPr>
        <w:t xml:space="preserve">- Quy định riêng 01 điều </w:t>
      </w:r>
      <w:r w:rsidR="00CA11DE" w:rsidRPr="0096488C">
        <w:rPr>
          <w:rFonts w:eastAsiaTheme="minorHAnsi"/>
          <w:iCs/>
          <w:sz w:val="28"/>
          <w:szCs w:val="28"/>
          <w:lang w:val="da-DK"/>
        </w:rPr>
        <w:t xml:space="preserve">(Điều 14 dự thảo Nghị định) </w:t>
      </w:r>
      <w:r w:rsidR="009B5B9A" w:rsidRPr="0096488C">
        <w:rPr>
          <w:rFonts w:eastAsiaTheme="minorHAnsi"/>
          <w:iCs/>
          <w:sz w:val="28"/>
          <w:szCs w:val="28"/>
          <w:lang w:val="da-DK"/>
        </w:rPr>
        <w:t xml:space="preserve">để làm rõ quy định tại khoản 2, 3 Điều 26 </w:t>
      </w:r>
      <w:r w:rsidR="00CA7948" w:rsidRPr="0096488C">
        <w:rPr>
          <w:rFonts w:eastAsiaTheme="minorHAnsi"/>
          <w:iCs/>
          <w:sz w:val="28"/>
          <w:szCs w:val="28"/>
          <w:lang w:val="da-DK"/>
        </w:rPr>
        <w:t xml:space="preserve">Luật HTX năm 2023 </w:t>
      </w:r>
      <w:r w:rsidRPr="0096488C">
        <w:rPr>
          <w:rFonts w:eastAsiaTheme="minorHAnsi"/>
          <w:iCs/>
          <w:sz w:val="28"/>
          <w:szCs w:val="28"/>
          <w:lang w:val="da-DK"/>
        </w:rPr>
        <w:t>về chuyển giao công trình kết cấu hạ tầng, công trình công cộng</w:t>
      </w:r>
      <w:r w:rsidR="00DC4732" w:rsidRPr="0096488C">
        <w:rPr>
          <w:rFonts w:eastAsiaTheme="minorHAnsi"/>
          <w:iCs/>
          <w:sz w:val="28"/>
          <w:szCs w:val="28"/>
          <w:lang w:val="da-DK"/>
        </w:rPr>
        <w:t xml:space="preserve"> và cơ sở hạ tầng khác</w:t>
      </w:r>
      <w:r w:rsidRPr="0096488C">
        <w:rPr>
          <w:rFonts w:eastAsiaTheme="minorHAnsi"/>
          <w:iCs/>
          <w:sz w:val="28"/>
          <w:szCs w:val="28"/>
          <w:lang w:val="da-DK"/>
        </w:rPr>
        <w:t xml:space="preserve"> của Nhà nước cho </w:t>
      </w:r>
      <w:r w:rsidR="00685BA1" w:rsidRPr="0096488C">
        <w:rPr>
          <w:rFonts w:eastAsiaTheme="minorHAnsi"/>
          <w:iCs/>
          <w:sz w:val="28"/>
          <w:szCs w:val="28"/>
          <w:lang w:val="da-DK"/>
        </w:rPr>
        <w:t xml:space="preserve">tổ hợp tác, HTX, liên hiệp HTX </w:t>
      </w:r>
      <w:r w:rsidR="00CA7948" w:rsidRPr="0096488C">
        <w:rPr>
          <w:rFonts w:eastAsiaTheme="minorHAnsi"/>
          <w:iCs/>
          <w:sz w:val="28"/>
          <w:szCs w:val="28"/>
          <w:lang w:val="da-DK"/>
        </w:rPr>
        <w:t xml:space="preserve">phù hợp với </w:t>
      </w:r>
      <w:r w:rsidRPr="0096488C">
        <w:rPr>
          <w:rFonts w:eastAsiaTheme="minorHAnsi"/>
          <w:iCs/>
          <w:sz w:val="28"/>
          <w:szCs w:val="28"/>
          <w:lang w:val="da-DK"/>
        </w:rPr>
        <w:t>pháp luật</w:t>
      </w:r>
      <w:r w:rsidR="00DC4732" w:rsidRPr="0096488C">
        <w:rPr>
          <w:rFonts w:eastAsiaTheme="minorHAnsi"/>
          <w:iCs/>
          <w:sz w:val="28"/>
          <w:szCs w:val="28"/>
          <w:lang w:val="da-DK"/>
        </w:rPr>
        <w:t xml:space="preserve"> về quản lý, sử dụng</w:t>
      </w:r>
      <w:r w:rsidRPr="0096488C">
        <w:rPr>
          <w:rFonts w:eastAsiaTheme="minorHAnsi"/>
          <w:iCs/>
          <w:sz w:val="28"/>
          <w:szCs w:val="28"/>
          <w:lang w:val="da-DK"/>
        </w:rPr>
        <w:t xml:space="preserve"> tài sản công</w:t>
      </w:r>
      <w:r w:rsidR="00BE5A01" w:rsidRPr="0096488C">
        <w:rPr>
          <w:rFonts w:eastAsiaTheme="minorHAnsi"/>
          <w:iCs/>
          <w:sz w:val="28"/>
          <w:szCs w:val="28"/>
          <w:lang w:val="da-DK"/>
        </w:rPr>
        <w:t>,</w:t>
      </w:r>
      <w:r w:rsidR="00DC4732" w:rsidRPr="0096488C">
        <w:rPr>
          <w:rFonts w:eastAsiaTheme="minorHAnsi"/>
          <w:iCs/>
          <w:sz w:val="28"/>
          <w:szCs w:val="28"/>
          <w:lang w:val="da-DK"/>
        </w:rPr>
        <w:t xml:space="preserve"> </w:t>
      </w:r>
      <w:r w:rsidR="00BE5A01" w:rsidRPr="0096488C">
        <w:rPr>
          <w:rFonts w:eastAsiaTheme="minorHAnsi"/>
          <w:iCs/>
          <w:sz w:val="28"/>
          <w:szCs w:val="28"/>
          <w:lang w:val="da-DK"/>
        </w:rPr>
        <w:t>t</w:t>
      </w:r>
      <w:r w:rsidR="00DC4732" w:rsidRPr="0096488C">
        <w:rPr>
          <w:rFonts w:eastAsiaTheme="minorHAnsi"/>
          <w:iCs/>
          <w:sz w:val="28"/>
          <w:szCs w:val="28"/>
          <w:lang w:val="da-DK"/>
        </w:rPr>
        <w:t>rong đó quy định cụ thể nguyên tắc</w:t>
      </w:r>
      <w:r w:rsidRPr="0096488C">
        <w:rPr>
          <w:rFonts w:eastAsiaTheme="minorHAnsi"/>
          <w:iCs/>
          <w:sz w:val="28"/>
          <w:szCs w:val="28"/>
          <w:lang w:val="da-DK"/>
        </w:rPr>
        <w:t xml:space="preserve"> và</w:t>
      </w:r>
      <w:r w:rsidR="00DC4732" w:rsidRPr="0096488C">
        <w:rPr>
          <w:rFonts w:eastAsiaTheme="minorHAnsi"/>
          <w:iCs/>
          <w:sz w:val="28"/>
          <w:szCs w:val="28"/>
          <w:lang w:val="da-DK"/>
        </w:rPr>
        <w:t xml:space="preserve"> quy trình, thủ tục chuyển giao</w:t>
      </w:r>
      <w:r w:rsidR="00214D35" w:rsidRPr="0096488C">
        <w:rPr>
          <w:rFonts w:eastAsiaTheme="minorHAnsi"/>
          <w:iCs/>
          <w:sz w:val="28"/>
          <w:szCs w:val="28"/>
          <w:lang w:val="da-DK"/>
        </w:rPr>
        <w:t>.</w:t>
      </w:r>
      <w:r w:rsidR="009B5B9A" w:rsidRPr="0096488C">
        <w:rPr>
          <w:rFonts w:eastAsiaTheme="minorHAnsi"/>
          <w:iCs/>
          <w:sz w:val="28"/>
          <w:szCs w:val="28"/>
          <w:lang w:val="da-DK"/>
        </w:rPr>
        <w:t xml:space="preserve"> </w:t>
      </w:r>
      <w:r w:rsidR="00CA7948" w:rsidRPr="0096488C">
        <w:rPr>
          <w:rFonts w:eastAsiaTheme="minorHAnsi"/>
          <w:iCs/>
          <w:sz w:val="28"/>
          <w:szCs w:val="28"/>
          <w:lang w:val="da-DK"/>
        </w:rPr>
        <w:t>Nội dung này cơ quan chủ trì soạn thảo đã</w:t>
      </w:r>
      <w:r w:rsidR="002854F8" w:rsidRPr="0096488C">
        <w:rPr>
          <w:rFonts w:eastAsiaTheme="minorHAnsi"/>
          <w:iCs/>
          <w:sz w:val="28"/>
          <w:szCs w:val="28"/>
          <w:lang w:val="da-DK"/>
        </w:rPr>
        <w:t xml:space="preserve"> </w:t>
      </w:r>
      <w:r w:rsidR="00CA7948" w:rsidRPr="0096488C">
        <w:rPr>
          <w:rFonts w:eastAsiaTheme="minorHAnsi"/>
          <w:iCs/>
          <w:sz w:val="28"/>
          <w:szCs w:val="28"/>
          <w:lang w:val="da-DK"/>
        </w:rPr>
        <w:t>xin ý kiến</w:t>
      </w:r>
      <w:r w:rsidR="00496D1F" w:rsidRPr="0096488C">
        <w:rPr>
          <w:rFonts w:eastAsiaTheme="minorHAnsi"/>
          <w:iCs/>
          <w:sz w:val="28"/>
          <w:szCs w:val="28"/>
          <w:lang w:val="da-DK"/>
        </w:rPr>
        <w:t xml:space="preserve"> Bộ Tài chính</w:t>
      </w:r>
      <w:r w:rsidR="00CA7948" w:rsidRPr="0096488C">
        <w:rPr>
          <w:rFonts w:eastAsiaTheme="minorHAnsi"/>
          <w:iCs/>
          <w:sz w:val="28"/>
          <w:szCs w:val="28"/>
          <w:lang w:val="da-DK"/>
        </w:rPr>
        <w:t xml:space="preserve"> bằng văn bản</w:t>
      </w:r>
      <w:r w:rsidR="002854F8" w:rsidRPr="0096488C">
        <w:rPr>
          <w:rFonts w:eastAsiaTheme="minorHAnsi"/>
          <w:iCs/>
          <w:sz w:val="28"/>
          <w:szCs w:val="28"/>
          <w:lang w:val="da-DK"/>
        </w:rPr>
        <w:t xml:space="preserve"> </w:t>
      </w:r>
      <w:r w:rsidR="00CA7948" w:rsidRPr="0096488C">
        <w:rPr>
          <w:rFonts w:eastAsiaTheme="minorHAnsi"/>
          <w:iCs/>
          <w:sz w:val="28"/>
          <w:szCs w:val="28"/>
          <w:lang w:val="da-DK"/>
        </w:rPr>
        <w:t>(</w:t>
      </w:r>
      <w:r w:rsidR="002854F8" w:rsidRPr="0096488C">
        <w:rPr>
          <w:rFonts w:eastAsiaTheme="minorHAnsi"/>
          <w:iCs/>
          <w:sz w:val="28"/>
          <w:szCs w:val="28"/>
          <w:lang w:val="da-DK"/>
        </w:rPr>
        <w:t xml:space="preserve">tại </w:t>
      </w:r>
      <w:r w:rsidR="00CA7948" w:rsidRPr="0096488C">
        <w:rPr>
          <w:rFonts w:eastAsiaTheme="minorHAnsi"/>
          <w:iCs/>
          <w:sz w:val="28"/>
          <w:szCs w:val="28"/>
          <w:lang w:val="da-DK"/>
        </w:rPr>
        <w:t>công văn số 709/BKHĐT-KTHT ngày 26</w:t>
      </w:r>
      <w:r w:rsidR="00A460A8">
        <w:rPr>
          <w:rFonts w:eastAsiaTheme="minorHAnsi"/>
          <w:iCs/>
          <w:sz w:val="28"/>
          <w:szCs w:val="28"/>
          <w:lang w:val="da-DK"/>
        </w:rPr>
        <w:t>/</w:t>
      </w:r>
      <w:r w:rsidR="00CA7948" w:rsidRPr="0096488C">
        <w:rPr>
          <w:rFonts w:eastAsiaTheme="minorHAnsi"/>
          <w:iCs/>
          <w:sz w:val="28"/>
          <w:szCs w:val="28"/>
          <w:lang w:val="da-DK"/>
        </w:rPr>
        <w:t>01</w:t>
      </w:r>
      <w:r w:rsidR="00A460A8">
        <w:rPr>
          <w:rFonts w:eastAsiaTheme="minorHAnsi"/>
          <w:iCs/>
          <w:sz w:val="28"/>
          <w:szCs w:val="28"/>
          <w:lang w:val="da-DK"/>
        </w:rPr>
        <w:t>/</w:t>
      </w:r>
      <w:r w:rsidR="00CA7948" w:rsidRPr="0096488C">
        <w:rPr>
          <w:rFonts w:eastAsiaTheme="minorHAnsi"/>
          <w:iCs/>
          <w:sz w:val="28"/>
          <w:szCs w:val="28"/>
          <w:lang w:val="da-DK"/>
        </w:rPr>
        <w:t>2024</w:t>
      </w:r>
      <w:r w:rsidR="009D482C" w:rsidRPr="0096488C">
        <w:rPr>
          <w:rFonts w:eastAsiaTheme="minorHAnsi"/>
          <w:iCs/>
          <w:sz w:val="28"/>
          <w:szCs w:val="28"/>
          <w:lang w:val="da-DK"/>
        </w:rPr>
        <w:t>)</w:t>
      </w:r>
      <w:r w:rsidR="00CA7948" w:rsidRPr="0096488C">
        <w:rPr>
          <w:rFonts w:eastAsiaTheme="minorHAnsi"/>
          <w:iCs/>
          <w:sz w:val="28"/>
          <w:szCs w:val="28"/>
          <w:lang w:val="da-DK"/>
        </w:rPr>
        <w:t>.</w:t>
      </w:r>
      <w:r w:rsidR="002854F8" w:rsidRPr="0096488C">
        <w:rPr>
          <w:rFonts w:eastAsiaTheme="minorHAnsi"/>
          <w:iCs/>
          <w:sz w:val="28"/>
          <w:szCs w:val="28"/>
          <w:lang w:val="da-DK"/>
        </w:rPr>
        <w:t xml:space="preserve"> Tuy nhiên</w:t>
      </w:r>
      <w:r w:rsidR="00347594" w:rsidRPr="0096488C">
        <w:rPr>
          <w:rFonts w:eastAsiaTheme="minorHAnsi"/>
          <w:iCs/>
          <w:sz w:val="28"/>
          <w:szCs w:val="28"/>
          <w:lang w:val="da-DK"/>
        </w:rPr>
        <w:t>,</w:t>
      </w:r>
      <w:r w:rsidR="002854F8" w:rsidRPr="0096488C">
        <w:rPr>
          <w:rFonts w:eastAsiaTheme="minorHAnsi"/>
          <w:iCs/>
          <w:sz w:val="28"/>
          <w:szCs w:val="28"/>
          <w:lang w:val="da-DK"/>
        </w:rPr>
        <w:t xml:space="preserve"> đến nay Bộ Tài chính chưa có ý kiến trả lời.</w:t>
      </w:r>
      <w:r w:rsidR="006B181B" w:rsidRPr="0096488C">
        <w:rPr>
          <w:rFonts w:eastAsiaTheme="minorHAnsi"/>
          <w:iCs/>
          <w:sz w:val="28"/>
          <w:szCs w:val="28"/>
          <w:lang w:val="da-DK"/>
        </w:rPr>
        <w:t xml:space="preserve"> </w:t>
      </w:r>
    </w:p>
    <w:p w14:paraId="392EFE7B" w14:textId="6D51A26A" w:rsidR="007938F5" w:rsidRPr="0096488C" w:rsidRDefault="00B96A80" w:rsidP="0096488C">
      <w:pPr>
        <w:pStyle w:val="NormalWeb"/>
        <w:shd w:val="clear" w:color="auto" w:fill="FFFFFF"/>
        <w:spacing w:before="60" w:beforeAutospacing="0" w:after="60" w:afterAutospacing="0" w:line="264" w:lineRule="auto"/>
        <w:ind w:firstLine="720"/>
        <w:jc w:val="both"/>
        <w:rPr>
          <w:sz w:val="28"/>
          <w:szCs w:val="28"/>
        </w:rPr>
      </w:pPr>
      <w:r w:rsidRPr="0096488C">
        <w:rPr>
          <w:sz w:val="28"/>
          <w:szCs w:val="28"/>
          <w:shd w:val="clear" w:color="auto" w:fill="FFFFFF"/>
          <w:lang w:val="de-DE"/>
        </w:rPr>
        <w:t>đ</w:t>
      </w:r>
      <w:r w:rsidR="00A92F2F" w:rsidRPr="0096488C">
        <w:rPr>
          <w:sz w:val="28"/>
          <w:szCs w:val="28"/>
          <w:shd w:val="clear" w:color="auto" w:fill="FFFFFF"/>
          <w:lang w:val="de-DE"/>
        </w:rPr>
        <w:t>)</w:t>
      </w:r>
      <w:r w:rsidR="007938F5" w:rsidRPr="0096488C">
        <w:rPr>
          <w:sz w:val="28"/>
          <w:szCs w:val="28"/>
          <w:shd w:val="clear" w:color="auto" w:fill="FFFFFF"/>
          <w:lang w:val="de-DE"/>
        </w:rPr>
        <w:t xml:space="preserve"> </w:t>
      </w:r>
      <w:r w:rsidR="007938F5" w:rsidRPr="0096488C">
        <w:rPr>
          <w:sz w:val="28"/>
          <w:szCs w:val="28"/>
          <w:lang w:val="nl-NL"/>
        </w:rPr>
        <w:t xml:space="preserve">Quy định </w:t>
      </w:r>
      <w:r w:rsidR="00122D17" w:rsidRPr="0096488C">
        <w:rPr>
          <w:sz w:val="28"/>
          <w:szCs w:val="28"/>
          <w:lang w:val="nl-NL"/>
        </w:rPr>
        <w:t>về</w:t>
      </w:r>
      <w:r w:rsidR="007938F5" w:rsidRPr="0096488C">
        <w:rPr>
          <w:sz w:val="28"/>
          <w:szCs w:val="28"/>
          <w:lang w:val="nl-NL"/>
        </w:rPr>
        <w:t xml:space="preserve"> </w:t>
      </w:r>
      <w:r w:rsidR="007938F5" w:rsidRPr="0096488C">
        <w:rPr>
          <w:sz w:val="28"/>
          <w:szCs w:val="28"/>
        </w:rPr>
        <w:t>chính sách hỗ trợ tư vấn tài chính và đánh giá rủi ro tại Điều</w:t>
      </w:r>
      <w:r w:rsidR="007938F5" w:rsidRPr="0096488C">
        <w:rPr>
          <w:sz w:val="28"/>
          <w:szCs w:val="28"/>
          <w:lang w:val="it-IT" w:eastAsia="ar-SA"/>
        </w:rPr>
        <w:t xml:space="preserve"> 1</w:t>
      </w:r>
      <w:r w:rsidR="003242E9" w:rsidRPr="0096488C">
        <w:rPr>
          <w:sz w:val="28"/>
          <w:szCs w:val="28"/>
          <w:lang w:val="it-IT" w:eastAsia="ar-SA"/>
        </w:rPr>
        <w:t>5</w:t>
      </w:r>
      <w:r w:rsidR="007938F5" w:rsidRPr="0096488C">
        <w:rPr>
          <w:sz w:val="28"/>
          <w:szCs w:val="28"/>
          <w:lang w:val="it-IT" w:eastAsia="ar-SA"/>
        </w:rPr>
        <w:t xml:space="preserve"> </w:t>
      </w:r>
      <w:r w:rsidR="007938F5" w:rsidRPr="0096488C">
        <w:rPr>
          <w:sz w:val="28"/>
          <w:szCs w:val="28"/>
        </w:rPr>
        <w:t>dự thảo Nghị định, cụ thể:</w:t>
      </w:r>
    </w:p>
    <w:p w14:paraId="71B96C55" w14:textId="575A9230" w:rsidR="00834B26" w:rsidRPr="0096488C" w:rsidRDefault="00D43C28" w:rsidP="0096488C">
      <w:pPr>
        <w:pStyle w:val="NormalWeb"/>
        <w:shd w:val="clear" w:color="auto" w:fill="FFFFFF"/>
        <w:spacing w:before="60" w:beforeAutospacing="0" w:after="60" w:afterAutospacing="0" w:line="264" w:lineRule="auto"/>
        <w:ind w:firstLine="720"/>
        <w:jc w:val="both"/>
        <w:rPr>
          <w:spacing w:val="-2"/>
          <w:sz w:val="28"/>
          <w:szCs w:val="28"/>
          <w:lang w:val="de-DE"/>
        </w:rPr>
      </w:pPr>
      <w:r w:rsidRPr="0096488C">
        <w:rPr>
          <w:sz w:val="28"/>
          <w:szCs w:val="28"/>
          <w:lang w:val="de-DE"/>
        </w:rPr>
        <w:t>- Đối tượng hỗ trợ:</w:t>
      </w:r>
      <w:r w:rsidR="00834B26" w:rsidRPr="0096488C">
        <w:rPr>
          <w:sz w:val="28"/>
          <w:szCs w:val="28"/>
          <w:lang w:val="de-DE"/>
        </w:rPr>
        <w:t xml:space="preserve"> </w:t>
      </w:r>
      <w:r w:rsidR="007949A6" w:rsidRPr="0096488C">
        <w:rPr>
          <w:sz w:val="28"/>
          <w:szCs w:val="28"/>
          <w:lang w:val="de-DE"/>
        </w:rPr>
        <w:t xml:space="preserve">Tổ hợp tác, </w:t>
      </w:r>
      <w:r w:rsidR="005567D2" w:rsidRPr="0096488C">
        <w:rPr>
          <w:sz w:val="28"/>
          <w:szCs w:val="28"/>
          <w:lang w:val="de-DE"/>
        </w:rPr>
        <w:t>HTX</w:t>
      </w:r>
      <w:r w:rsidRPr="0096488C">
        <w:rPr>
          <w:sz w:val="28"/>
          <w:szCs w:val="28"/>
          <w:lang w:val="de-DE"/>
        </w:rPr>
        <w:t xml:space="preserve">, liên hiệp </w:t>
      </w:r>
      <w:r w:rsidR="00C54D58" w:rsidRPr="0096488C">
        <w:rPr>
          <w:sz w:val="28"/>
          <w:szCs w:val="28"/>
          <w:lang w:val="de-DE"/>
        </w:rPr>
        <w:t>HTX</w:t>
      </w:r>
      <w:r w:rsidRPr="0096488C">
        <w:rPr>
          <w:sz w:val="28"/>
          <w:szCs w:val="28"/>
          <w:lang w:val="de-DE"/>
        </w:rPr>
        <w:t xml:space="preserve">; </w:t>
      </w:r>
      <w:r w:rsidR="00834B26" w:rsidRPr="0096488C">
        <w:rPr>
          <w:sz w:val="28"/>
          <w:szCs w:val="28"/>
          <w:lang w:val="de-DE"/>
        </w:rPr>
        <w:t>c</w:t>
      </w:r>
      <w:r w:rsidRPr="0096488C">
        <w:rPr>
          <w:sz w:val="28"/>
          <w:szCs w:val="28"/>
          <w:lang w:val="de-DE"/>
        </w:rPr>
        <w:t>ác t</w:t>
      </w:r>
      <w:r w:rsidRPr="0096488C">
        <w:rPr>
          <w:spacing w:val="-2"/>
          <w:sz w:val="28"/>
          <w:szCs w:val="28"/>
          <w:lang w:val="de-DE"/>
        </w:rPr>
        <w:t xml:space="preserve">ổ chức đại diện, hệ thống Liên minh </w:t>
      </w:r>
      <w:r w:rsidR="003E4D80" w:rsidRPr="0096488C">
        <w:rPr>
          <w:spacing w:val="-2"/>
          <w:sz w:val="28"/>
          <w:szCs w:val="28"/>
          <w:lang w:val="de-DE"/>
        </w:rPr>
        <w:t>H</w:t>
      </w:r>
      <w:r w:rsidRPr="0096488C">
        <w:rPr>
          <w:spacing w:val="-2"/>
          <w:sz w:val="28"/>
          <w:szCs w:val="28"/>
          <w:lang w:val="de-DE"/>
        </w:rPr>
        <w:t>ợp tác xã Việt Nam</w:t>
      </w:r>
      <w:r w:rsidR="00834B26" w:rsidRPr="0096488C">
        <w:rPr>
          <w:spacing w:val="-2"/>
          <w:sz w:val="28"/>
          <w:szCs w:val="28"/>
          <w:lang w:val="de-DE"/>
        </w:rPr>
        <w:t xml:space="preserve">. </w:t>
      </w:r>
    </w:p>
    <w:p w14:paraId="66C4C3C1" w14:textId="76E73272" w:rsidR="00214D35" w:rsidRPr="00A460A8" w:rsidRDefault="00214D35" w:rsidP="0096488C">
      <w:pPr>
        <w:pStyle w:val="NormalWeb"/>
        <w:shd w:val="clear" w:color="auto" w:fill="FFFFFF"/>
        <w:spacing w:before="60" w:beforeAutospacing="0" w:after="60" w:afterAutospacing="0" w:line="264" w:lineRule="auto"/>
        <w:ind w:firstLine="720"/>
        <w:jc w:val="both"/>
        <w:rPr>
          <w:spacing w:val="-2"/>
          <w:sz w:val="32"/>
          <w:szCs w:val="32"/>
          <w:lang w:val="de-DE"/>
        </w:rPr>
      </w:pPr>
      <w:r w:rsidRPr="00A460A8">
        <w:rPr>
          <w:rFonts w:eastAsia="Calibri"/>
          <w:spacing w:val="-2"/>
          <w:sz w:val="28"/>
          <w:szCs w:val="32"/>
          <w:lang w:val="de-DE"/>
        </w:rPr>
        <w:t>- Nội dung hỗ trợ gồm:</w:t>
      </w:r>
    </w:p>
    <w:p w14:paraId="3A03D092" w14:textId="29405467" w:rsidR="00BD7F96" w:rsidRPr="0096488C" w:rsidRDefault="00214D35" w:rsidP="0096488C">
      <w:pPr>
        <w:pStyle w:val="Noidung"/>
        <w:widowControl w:val="0"/>
        <w:spacing w:before="60" w:after="60" w:line="264" w:lineRule="auto"/>
        <w:rPr>
          <w:szCs w:val="28"/>
          <w:lang w:val="de-DE"/>
        </w:rPr>
      </w:pPr>
      <w:r w:rsidRPr="0096488C">
        <w:rPr>
          <w:szCs w:val="28"/>
          <w:lang w:val="de-DE"/>
        </w:rPr>
        <w:t>+</w:t>
      </w:r>
      <w:r w:rsidR="00BD7F96" w:rsidRPr="0096488C">
        <w:rPr>
          <w:szCs w:val="28"/>
          <w:lang w:val="de-DE"/>
        </w:rPr>
        <w:t xml:space="preserve"> Hỗ trợ kinh phí thuê tổ chức kiểm toán độc lập </w:t>
      </w:r>
      <w:r w:rsidR="003242E9" w:rsidRPr="0096488C">
        <w:rPr>
          <w:szCs w:val="28"/>
          <w:lang w:val="de-DE"/>
        </w:rPr>
        <w:t xml:space="preserve">đối với HTX siêu nhỏ, nhỏ </w:t>
      </w:r>
      <w:r w:rsidR="00BD7F96" w:rsidRPr="0096488C">
        <w:rPr>
          <w:szCs w:val="28"/>
          <w:lang w:val="de-DE"/>
        </w:rPr>
        <w:t xml:space="preserve">trong trường hợp </w:t>
      </w:r>
      <w:r w:rsidR="0063207F" w:rsidRPr="0096488C">
        <w:rPr>
          <w:szCs w:val="28"/>
          <w:lang w:val="de-DE"/>
        </w:rPr>
        <w:t>chính sách hỗ trợ của Nhà nước có yêu cầu HTX thực hiện kiểm toán đối với báo cáo tài chính năm</w:t>
      </w:r>
      <w:r w:rsidR="00DA1049" w:rsidRPr="0096488C">
        <w:rPr>
          <w:szCs w:val="28"/>
          <w:lang w:val="de-DE"/>
        </w:rPr>
        <w:t xml:space="preserve"> của HTX</w:t>
      </w:r>
      <w:r w:rsidR="00BD7F96" w:rsidRPr="0096488C">
        <w:rPr>
          <w:szCs w:val="28"/>
          <w:lang w:val="de-DE"/>
        </w:rPr>
        <w:t>.</w:t>
      </w:r>
    </w:p>
    <w:p w14:paraId="3F6532E7" w14:textId="3B6D0A00" w:rsidR="00BD7F96" w:rsidRPr="0096488C" w:rsidRDefault="00214D35" w:rsidP="0096488C">
      <w:pPr>
        <w:pStyle w:val="Noidung"/>
        <w:widowControl w:val="0"/>
        <w:spacing w:before="60" w:after="60" w:line="264" w:lineRule="auto"/>
        <w:rPr>
          <w:szCs w:val="28"/>
          <w:lang w:val="de-DE"/>
        </w:rPr>
      </w:pPr>
      <w:r w:rsidRPr="0096488C">
        <w:rPr>
          <w:szCs w:val="28"/>
          <w:lang w:val="de-DE"/>
        </w:rPr>
        <w:t>+</w:t>
      </w:r>
      <w:r w:rsidR="00B96A80" w:rsidRPr="0096488C">
        <w:rPr>
          <w:szCs w:val="28"/>
          <w:lang w:val="de-DE"/>
        </w:rPr>
        <w:t xml:space="preserve"> </w:t>
      </w:r>
      <w:r w:rsidR="00BD7F96" w:rsidRPr="0096488C">
        <w:rPr>
          <w:szCs w:val="28"/>
          <w:lang w:val="de-DE"/>
        </w:rPr>
        <w:t xml:space="preserve">Nhà nước hỗ trợ kinh phí cho tổ chức đại diện, hệ thống liên minh </w:t>
      </w:r>
      <w:r w:rsidR="00C54D58" w:rsidRPr="0096488C">
        <w:rPr>
          <w:szCs w:val="28"/>
          <w:lang w:val="de-DE"/>
        </w:rPr>
        <w:t>HTX</w:t>
      </w:r>
      <w:r w:rsidR="00BD7F96" w:rsidRPr="0096488C">
        <w:rPr>
          <w:szCs w:val="28"/>
          <w:lang w:val="de-DE"/>
        </w:rPr>
        <w:t xml:space="preserve"> Việt Nam thực hiện đánh giá rủi ro, tư vấn tài chính; tư vấn kiểm soát nội bộ, kiểm toán nội bộ cho tổ hợp tác, </w:t>
      </w:r>
      <w:r w:rsidR="00C54D58" w:rsidRPr="0096488C">
        <w:rPr>
          <w:szCs w:val="28"/>
          <w:lang w:val="de-DE"/>
        </w:rPr>
        <w:t>HTX</w:t>
      </w:r>
      <w:r w:rsidR="00BD7F96" w:rsidRPr="0096488C">
        <w:rPr>
          <w:szCs w:val="28"/>
          <w:lang w:val="de-DE"/>
        </w:rPr>
        <w:t xml:space="preserve">, liên hiệp </w:t>
      </w:r>
      <w:r w:rsidR="00C54D58" w:rsidRPr="0096488C">
        <w:rPr>
          <w:szCs w:val="28"/>
          <w:lang w:val="de-DE"/>
        </w:rPr>
        <w:t>HTX</w:t>
      </w:r>
      <w:r w:rsidR="00BD7F96" w:rsidRPr="0096488C">
        <w:rPr>
          <w:szCs w:val="28"/>
          <w:lang w:val="de-DE"/>
        </w:rPr>
        <w:t xml:space="preserve"> thông qua đề án, chương trình được cấp có thẩm quyền phê duyệt phù hợp với cấp quản lý ngân sách.</w:t>
      </w:r>
    </w:p>
    <w:p w14:paraId="5DB4CB7D" w14:textId="74CB83C9" w:rsidR="00B96A80" w:rsidRPr="0096488C" w:rsidRDefault="00214D35" w:rsidP="0096488C">
      <w:pPr>
        <w:pStyle w:val="Noidung"/>
        <w:widowControl w:val="0"/>
        <w:spacing w:before="60" w:after="60" w:line="264" w:lineRule="auto"/>
        <w:rPr>
          <w:szCs w:val="28"/>
          <w:lang w:val="de-DE"/>
        </w:rPr>
      </w:pPr>
      <w:r w:rsidRPr="0096488C">
        <w:rPr>
          <w:szCs w:val="28"/>
        </w:rPr>
        <w:t xml:space="preserve">- Quy định về kinh phí hỗ trợ từ </w:t>
      </w:r>
      <w:r w:rsidR="00BB70E1" w:rsidRPr="0096488C">
        <w:rPr>
          <w:szCs w:val="28"/>
        </w:rPr>
        <w:t>NSNN</w:t>
      </w:r>
      <w:r w:rsidRPr="0096488C">
        <w:rPr>
          <w:szCs w:val="28"/>
        </w:rPr>
        <w:t xml:space="preserve"> tương tự như tại khoản 3 Điều 7 dự thảo Nghị định.</w:t>
      </w:r>
    </w:p>
    <w:p w14:paraId="5D640AD1" w14:textId="30F94018" w:rsidR="007938F5" w:rsidRPr="0096488C" w:rsidRDefault="00122D17" w:rsidP="0096488C">
      <w:pPr>
        <w:pStyle w:val="Header"/>
        <w:shd w:val="clear" w:color="auto" w:fill="FFFFFF"/>
        <w:spacing w:before="60" w:after="60" w:line="264" w:lineRule="auto"/>
        <w:ind w:firstLine="720"/>
        <w:jc w:val="both"/>
        <w:rPr>
          <w:rFonts w:cs="Times New Roman"/>
          <w:szCs w:val="28"/>
        </w:rPr>
      </w:pPr>
      <w:r w:rsidRPr="0096488C">
        <w:rPr>
          <w:rFonts w:cs="Times New Roman"/>
          <w:szCs w:val="28"/>
          <w:lang w:val="de-DE"/>
        </w:rPr>
        <w:t>e</w:t>
      </w:r>
      <w:r w:rsidR="00D43C28" w:rsidRPr="0096488C">
        <w:rPr>
          <w:rFonts w:cs="Times New Roman"/>
          <w:szCs w:val="28"/>
          <w:lang w:val="de-DE"/>
        </w:rPr>
        <w:t>)</w:t>
      </w:r>
      <w:r w:rsidR="007938F5" w:rsidRPr="0096488C">
        <w:rPr>
          <w:rFonts w:cs="Times New Roman"/>
          <w:szCs w:val="28"/>
          <w:lang w:val="de-DE"/>
        </w:rPr>
        <w:t xml:space="preserve"> </w:t>
      </w:r>
      <w:r w:rsidR="007938F5" w:rsidRPr="0096488C">
        <w:rPr>
          <w:rFonts w:cs="Times New Roman"/>
          <w:szCs w:val="28"/>
          <w:lang w:val="nl-NL"/>
        </w:rPr>
        <w:t xml:space="preserve">Quy định </w:t>
      </w:r>
      <w:r w:rsidRPr="0096488C">
        <w:rPr>
          <w:rFonts w:cs="Times New Roman"/>
          <w:szCs w:val="28"/>
          <w:lang w:val="nl-NL"/>
        </w:rPr>
        <w:t>về</w:t>
      </w:r>
      <w:r w:rsidR="007938F5" w:rsidRPr="0096488C">
        <w:rPr>
          <w:rFonts w:cs="Times New Roman"/>
          <w:szCs w:val="28"/>
          <w:lang w:val="nl-NL"/>
        </w:rPr>
        <w:t xml:space="preserve"> </w:t>
      </w:r>
      <w:r w:rsidR="007938F5" w:rsidRPr="0096488C">
        <w:rPr>
          <w:rFonts w:cs="Times New Roman"/>
          <w:szCs w:val="28"/>
        </w:rPr>
        <w:t>chính sách hỗ trợ hoạt động trong lĩnh vực nông nghiệp tại Điều</w:t>
      </w:r>
      <w:r w:rsidR="007938F5" w:rsidRPr="0096488C">
        <w:rPr>
          <w:rFonts w:cs="Times New Roman"/>
          <w:szCs w:val="28"/>
          <w:lang w:val="it-IT" w:eastAsia="ar-SA"/>
        </w:rPr>
        <w:t xml:space="preserve"> 1</w:t>
      </w:r>
      <w:r w:rsidR="00C5476B" w:rsidRPr="0096488C">
        <w:rPr>
          <w:rFonts w:cs="Times New Roman"/>
          <w:szCs w:val="28"/>
          <w:lang w:val="it-IT" w:eastAsia="ar-SA"/>
        </w:rPr>
        <w:t>6</w:t>
      </w:r>
      <w:r w:rsidR="007938F5" w:rsidRPr="0096488C">
        <w:rPr>
          <w:rFonts w:cs="Times New Roman"/>
          <w:szCs w:val="28"/>
          <w:lang w:val="it-IT" w:eastAsia="ar-SA"/>
        </w:rPr>
        <w:t xml:space="preserve"> </w:t>
      </w:r>
      <w:r w:rsidR="007938F5" w:rsidRPr="0096488C">
        <w:rPr>
          <w:rFonts w:cs="Times New Roman"/>
          <w:szCs w:val="28"/>
        </w:rPr>
        <w:t>dự thảo Nghị định, cụ thể:</w:t>
      </w:r>
    </w:p>
    <w:p w14:paraId="7FFEA4B9" w14:textId="33C7AA97" w:rsidR="00D43C28" w:rsidRPr="0096488C" w:rsidRDefault="00064783" w:rsidP="0096488C">
      <w:pPr>
        <w:pStyle w:val="Noidung"/>
        <w:widowControl w:val="0"/>
        <w:spacing w:before="60" w:after="60" w:line="264" w:lineRule="auto"/>
        <w:rPr>
          <w:szCs w:val="28"/>
          <w:lang w:val="de-DE"/>
        </w:rPr>
      </w:pPr>
      <w:r w:rsidRPr="0096488C">
        <w:rPr>
          <w:szCs w:val="28"/>
          <w:lang w:val="de-DE"/>
        </w:rPr>
        <w:t xml:space="preserve">- </w:t>
      </w:r>
      <w:r w:rsidR="00D43C28" w:rsidRPr="0096488C">
        <w:rPr>
          <w:szCs w:val="28"/>
          <w:lang w:val="de-DE"/>
        </w:rPr>
        <w:t xml:space="preserve">Đối tượng hỗ trợ: Các tổ hợp tác, </w:t>
      </w:r>
      <w:r w:rsidR="00C54D58" w:rsidRPr="0096488C">
        <w:rPr>
          <w:szCs w:val="28"/>
          <w:lang w:val="de-DE"/>
        </w:rPr>
        <w:t>HTX</w:t>
      </w:r>
      <w:r w:rsidR="00D43C28" w:rsidRPr="0096488C">
        <w:rPr>
          <w:szCs w:val="28"/>
          <w:lang w:val="de-DE"/>
        </w:rPr>
        <w:t xml:space="preserve">, liên hiệp </w:t>
      </w:r>
      <w:r w:rsidR="00C54D58" w:rsidRPr="0096488C">
        <w:rPr>
          <w:szCs w:val="28"/>
          <w:lang w:val="de-DE"/>
        </w:rPr>
        <w:t>HTX</w:t>
      </w:r>
      <w:r w:rsidR="00D43C28" w:rsidRPr="0096488C">
        <w:rPr>
          <w:szCs w:val="28"/>
          <w:lang w:val="de-DE"/>
        </w:rPr>
        <w:t xml:space="preserve"> hoạt động trong lĩnh vực nông nghiệp</w:t>
      </w:r>
      <w:r w:rsidR="00F25002" w:rsidRPr="0096488C">
        <w:rPr>
          <w:szCs w:val="28"/>
          <w:lang w:val="de-DE"/>
        </w:rPr>
        <w:t>.</w:t>
      </w:r>
    </w:p>
    <w:p w14:paraId="5BD13022" w14:textId="0DE82F96" w:rsidR="00D43C28" w:rsidRPr="0096488C" w:rsidRDefault="00064783" w:rsidP="0096488C">
      <w:pPr>
        <w:pStyle w:val="Noidung"/>
        <w:widowControl w:val="0"/>
        <w:spacing w:before="60" w:after="60" w:line="264" w:lineRule="auto"/>
        <w:rPr>
          <w:szCs w:val="28"/>
          <w:lang w:val="de-DE"/>
        </w:rPr>
      </w:pPr>
      <w:r w:rsidRPr="0096488C">
        <w:rPr>
          <w:szCs w:val="28"/>
          <w:lang w:val="de-DE"/>
        </w:rPr>
        <w:t xml:space="preserve">- </w:t>
      </w:r>
      <w:r w:rsidR="00D43C28" w:rsidRPr="0096488C">
        <w:rPr>
          <w:szCs w:val="28"/>
          <w:lang w:val="de-DE"/>
        </w:rPr>
        <w:t>Nội dung hỗ trợ quy định rõ</w:t>
      </w:r>
      <w:r w:rsidR="00856FE7" w:rsidRPr="0096488C">
        <w:rPr>
          <w:szCs w:val="28"/>
          <w:lang w:val="de-DE"/>
        </w:rPr>
        <w:t>:</w:t>
      </w:r>
      <w:r w:rsidR="00D43C28" w:rsidRPr="0096488C">
        <w:rPr>
          <w:szCs w:val="28"/>
          <w:lang w:val="de-DE"/>
        </w:rPr>
        <w:t xml:space="preserve"> ngoài việc được hưởng chính sách hỗ trợ </w:t>
      </w:r>
      <w:r w:rsidR="002B1CB7" w:rsidRPr="0096488C">
        <w:rPr>
          <w:szCs w:val="28"/>
          <w:lang w:val="de-DE"/>
        </w:rPr>
        <w:t>tại các Điều 7, 8, 9, 10, 11, 12, 13</w:t>
      </w:r>
      <w:r w:rsidR="004E3479" w:rsidRPr="0096488C">
        <w:rPr>
          <w:szCs w:val="28"/>
          <w:lang w:val="de-DE"/>
        </w:rPr>
        <w:t>, 14</w:t>
      </w:r>
      <w:r w:rsidR="00870612" w:rsidRPr="0096488C">
        <w:rPr>
          <w:szCs w:val="28"/>
          <w:lang w:val="de-DE"/>
        </w:rPr>
        <w:t>, 15</w:t>
      </w:r>
      <w:r w:rsidR="002B1CB7" w:rsidRPr="0096488C">
        <w:rPr>
          <w:szCs w:val="28"/>
          <w:lang w:val="de-DE"/>
        </w:rPr>
        <w:t xml:space="preserve"> dự thảo Nghị định</w:t>
      </w:r>
      <w:r w:rsidR="00D43C28" w:rsidRPr="0096488C">
        <w:rPr>
          <w:szCs w:val="28"/>
          <w:lang w:val="de-DE"/>
        </w:rPr>
        <w:t xml:space="preserve">, tổ hợp tác, </w:t>
      </w:r>
      <w:r w:rsidR="00C54D58" w:rsidRPr="0096488C">
        <w:rPr>
          <w:szCs w:val="28"/>
          <w:lang w:val="de-DE"/>
        </w:rPr>
        <w:t>HTX</w:t>
      </w:r>
      <w:r w:rsidR="00D43C28" w:rsidRPr="0096488C">
        <w:rPr>
          <w:szCs w:val="28"/>
          <w:lang w:val="de-DE"/>
        </w:rPr>
        <w:t xml:space="preserve">, liên hiệp </w:t>
      </w:r>
      <w:r w:rsidR="00C54D58" w:rsidRPr="0096488C">
        <w:rPr>
          <w:szCs w:val="28"/>
          <w:lang w:val="de-DE"/>
        </w:rPr>
        <w:t>HTX</w:t>
      </w:r>
      <w:r w:rsidR="00D43C28" w:rsidRPr="0096488C">
        <w:rPr>
          <w:szCs w:val="28"/>
          <w:lang w:val="de-DE"/>
        </w:rPr>
        <w:t xml:space="preserve"> trong lĩnh vực nông nghiệp còn được hưởng các hỗ trợ sau:</w:t>
      </w:r>
    </w:p>
    <w:p w14:paraId="6D4E4891" w14:textId="77777777" w:rsidR="00AD32DA" w:rsidRPr="0096488C" w:rsidRDefault="00502900" w:rsidP="0096488C">
      <w:pPr>
        <w:pStyle w:val="Noidung"/>
        <w:widowControl w:val="0"/>
        <w:spacing w:before="60" w:after="60" w:line="264" w:lineRule="auto"/>
        <w:rPr>
          <w:szCs w:val="28"/>
          <w:lang w:val="de-DE"/>
        </w:rPr>
      </w:pPr>
      <w:r w:rsidRPr="0096488C">
        <w:rPr>
          <w:szCs w:val="28"/>
          <w:lang w:val="de-DE"/>
        </w:rPr>
        <w:t>+</w:t>
      </w:r>
      <w:r w:rsidR="00263700" w:rsidRPr="0096488C">
        <w:rPr>
          <w:szCs w:val="28"/>
          <w:lang w:val="de-DE"/>
        </w:rPr>
        <w:t xml:space="preserve"> </w:t>
      </w:r>
      <w:r w:rsidR="005242AE" w:rsidRPr="0096488C">
        <w:rPr>
          <w:szCs w:val="28"/>
          <w:lang w:val="de-DE"/>
        </w:rPr>
        <w:t>H</w:t>
      </w:r>
      <w:r w:rsidR="00263700" w:rsidRPr="0096488C">
        <w:rPr>
          <w:szCs w:val="28"/>
        </w:rPr>
        <w:t xml:space="preserve">ỗ trợ </w:t>
      </w:r>
      <w:r w:rsidR="00AD32DA" w:rsidRPr="0096488C">
        <w:rPr>
          <w:szCs w:val="28"/>
          <w:lang w:val="de-DE"/>
        </w:rPr>
        <w:t>vốn, giống, trang thiết bị ứng dụng khoa học và công nghệ;</w:t>
      </w:r>
    </w:p>
    <w:p w14:paraId="4D9357F3" w14:textId="464E570B" w:rsidR="003C37BE" w:rsidRPr="0096488C" w:rsidRDefault="00AD32DA" w:rsidP="0096488C">
      <w:pPr>
        <w:pStyle w:val="Noidung"/>
        <w:widowControl w:val="0"/>
        <w:spacing w:before="60" w:after="60" w:line="264" w:lineRule="auto"/>
        <w:rPr>
          <w:szCs w:val="28"/>
        </w:rPr>
      </w:pPr>
      <w:r w:rsidRPr="0096488C">
        <w:rPr>
          <w:szCs w:val="28"/>
          <w:lang w:val="de-DE"/>
        </w:rPr>
        <w:t xml:space="preserve">+ Hỗ trợ kinh phí để xây dựng kết cấu hạ tầng vùng nguyên liệu sản xuất nông nghiệp tập trung theo quy định Điều 28 Luật HTX năm 2023 </w:t>
      </w:r>
      <w:r w:rsidRPr="0096488C">
        <w:rPr>
          <w:szCs w:val="28"/>
        </w:rPr>
        <w:t>khi</w:t>
      </w:r>
      <w:r w:rsidR="00263700" w:rsidRPr="0096488C">
        <w:rPr>
          <w:szCs w:val="28"/>
        </w:rPr>
        <w:t xml:space="preserve"> </w:t>
      </w:r>
      <w:r w:rsidR="00263700" w:rsidRPr="0096488C">
        <w:rPr>
          <w:szCs w:val="28"/>
          <w:lang w:val="de-DE"/>
        </w:rPr>
        <w:t xml:space="preserve">tổ hợp tác, </w:t>
      </w:r>
      <w:r w:rsidR="003F3123" w:rsidRPr="0096488C">
        <w:rPr>
          <w:szCs w:val="28"/>
          <w:lang w:val="de-DE"/>
        </w:rPr>
        <w:t>HTX</w:t>
      </w:r>
      <w:r w:rsidR="00263700" w:rsidRPr="0096488C">
        <w:rPr>
          <w:szCs w:val="28"/>
          <w:lang w:val="de-DE"/>
        </w:rPr>
        <w:t xml:space="preserve">, liên hiệp </w:t>
      </w:r>
      <w:r w:rsidR="003F3123" w:rsidRPr="0096488C">
        <w:rPr>
          <w:szCs w:val="28"/>
          <w:lang w:val="de-DE"/>
        </w:rPr>
        <w:t>HTX</w:t>
      </w:r>
      <w:r w:rsidR="00263700" w:rsidRPr="0096488C">
        <w:rPr>
          <w:szCs w:val="28"/>
          <w:lang w:val="de-DE"/>
        </w:rPr>
        <w:t xml:space="preserve"> nhận góp vốn bằng quyền sử dụng đất hoặc thuê đất, đất có mặt nước của tổ chức, hộ gia đình, cá nhân.</w:t>
      </w:r>
      <w:r w:rsidR="0042719D" w:rsidRPr="0096488C">
        <w:rPr>
          <w:szCs w:val="28"/>
          <w:lang w:val="de-DE"/>
        </w:rPr>
        <w:t xml:space="preserve"> Trong đó</w:t>
      </w:r>
      <w:r w:rsidR="003C37BE" w:rsidRPr="0096488C">
        <w:rPr>
          <w:szCs w:val="28"/>
          <w:lang w:val="de-DE"/>
        </w:rPr>
        <w:t xml:space="preserve"> </w:t>
      </w:r>
      <w:r w:rsidR="0042719D" w:rsidRPr="0096488C">
        <w:rPr>
          <w:szCs w:val="28"/>
          <w:lang w:val="de-DE"/>
        </w:rPr>
        <w:t>q</w:t>
      </w:r>
      <w:r w:rsidRPr="0096488C">
        <w:rPr>
          <w:szCs w:val="28"/>
        </w:rPr>
        <w:t>uy định rõ</w:t>
      </w:r>
      <w:r w:rsidR="003C37BE" w:rsidRPr="0096488C">
        <w:rPr>
          <w:szCs w:val="28"/>
        </w:rPr>
        <w:t xml:space="preserve"> công trình được hỗ trợ</w:t>
      </w:r>
      <w:r w:rsidR="0042719D" w:rsidRPr="0096488C">
        <w:rPr>
          <w:szCs w:val="28"/>
        </w:rPr>
        <w:t>, gồm</w:t>
      </w:r>
      <w:r w:rsidRPr="0096488C">
        <w:rPr>
          <w:szCs w:val="28"/>
        </w:rPr>
        <w:t>:</w:t>
      </w:r>
      <w:r w:rsidR="003C37BE" w:rsidRPr="0096488C">
        <w:rPr>
          <w:szCs w:val="28"/>
        </w:rPr>
        <w:t xml:space="preserve"> </w:t>
      </w:r>
      <w:r w:rsidRPr="0096488C">
        <w:rPr>
          <w:szCs w:val="28"/>
          <w:lang w:val="de-DE"/>
        </w:rPr>
        <w:t>công trình thủy lợi, giao thông nội đồng cho trồng trọt, lâm nghiệp</w:t>
      </w:r>
      <w:r w:rsidR="00B12F84" w:rsidRPr="0096488C">
        <w:rPr>
          <w:szCs w:val="28"/>
          <w:lang w:val="de-DE"/>
        </w:rPr>
        <w:t>, diêm nghiệp</w:t>
      </w:r>
      <w:r w:rsidRPr="0096488C">
        <w:rPr>
          <w:szCs w:val="28"/>
        </w:rPr>
        <w:t>;</w:t>
      </w:r>
      <w:r w:rsidRPr="0096488C">
        <w:rPr>
          <w:szCs w:val="28"/>
          <w:lang w:val="vi-VN"/>
        </w:rPr>
        <w:t xml:space="preserve"> công trình kết cấu hạ tầng vùng nuôi trồng thủy, hải sản</w:t>
      </w:r>
      <w:r w:rsidRPr="0096488C">
        <w:rPr>
          <w:szCs w:val="28"/>
        </w:rPr>
        <w:t xml:space="preserve">; công trình </w:t>
      </w:r>
      <w:r w:rsidRPr="0096488C">
        <w:rPr>
          <w:szCs w:val="28"/>
        </w:rPr>
        <w:lastRenderedPageBreak/>
        <w:t>kết cấu hạ tầng vùng chăn nuôi tập trung.</w:t>
      </w:r>
    </w:p>
    <w:p w14:paraId="0E7A883A" w14:textId="560C2F1D" w:rsidR="003C37BE" w:rsidRPr="0096488C" w:rsidRDefault="003C37BE" w:rsidP="0096488C">
      <w:pPr>
        <w:pStyle w:val="Noidung"/>
        <w:widowControl w:val="0"/>
        <w:spacing w:before="60" w:after="60" w:line="264" w:lineRule="auto"/>
        <w:rPr>
          <w:szCs w:val="28"/>
        </w:rPr>
      </w:pPr>
      <w:r w:rsidRPr="0096488C">
        <w:rPr>
          <w:szCs w:val="28"/>
          <w:lang w:val="de-DE"/>
        </w:rPr>
        <w:t xml:space="preserve">- </w:t>
      </w:r>
      <w:r w:rsidRPr="0096488C">
        <w:rPr>
          <w:szCs w:val="28"/>
        </w:rPr>
        <w:t xml:space="preserve">Nguồn kinh phí hỗ trợ từ </w:t>
      </w:r>
      <w:r w:rsidR="002C4FFB" w:rsidRPr="0096488C">
        <w:rPr>
          <w:szCs w:val="28"/>
        </w:rPr>
        <w:t>NSNN</w:t>
      </w:r>
      <w:r w:rsidRPr="0096488C">
        <w:rPr>
          <w:szCs w:val="28"/>
        </w:rPr>
        <w:t xml:space="preserve">, mức hỗ trợ, </w:t>
      </w:r>
      <w:r w:rsidR="0046523D" w:rsidRPr="0096488C">
        <w:rPr>
          <w:szCs w:val="28"/>
        </w:rPr>
        <w:t xml:space="preserve">quy trình thực hiện dự án đầu tư công, </w:t>
      </w:r>
      <w:r w:rsidRPr="0096488C">
        <w:rPr>
          <w:szCs w:val="28"/>
        </w:rPr>
        <w:t>phương thức hỗ trợ và cơ chế quản lý sau đầu tư tương tự đối với các dự án hỗ trợ công trình kết cấu hạ tầng</w:t>
      </w:r>
      <w:r w:rsidR="0046523D" w:rsidRPr="0096488C">
        <w:rPr>
          <w:szCs w:val="28"/>
        </w:rPr>
        <w:t>, trang thiết bị</w:t>
      </w:r>
      <w:r w:rsidR="0096381B" w:rsidRPr="0096488C">
        <w:rPr>
          <w:szCs w:val="28"/>
        </w:rPr>
        <w:t xml:space="preserve"> quy định tại Điều 13 dự thảo Nghị định</w:t>
      </w:r>
      <w:r w:rsidRPr="0096488C">
        <w:rPr>
          <w:szCs w:val="28"/>
        </w:rPr>
        <w:t>.</w:t>
      </w:r>
    </w:p>
    <w:p w14:paraId="5E1A36D1" w14:textId="50D3E81E" w:rsidR="000D3AED" w:rsidRPr="0096488C" w:rsidRDefault="00E04E6A" w:rsidP="0096488C">
      <w:pPr>
        <w:pStyle w:val="Noidung"/>
        <w:spacing w:before="60" w:after="60" w:line="264" w:lineRule="auto"/>
        <w:rPr>
          <w:szCs w:val="28"/>
        </w:rPr>
      </w:pPr>
      <w:r w:rsidRPr="0096488C">
        <w:rPr>
          <w:szCs w:val="28"/>
        </w:rPr>
        <w:t>2.</w:t>
      </w:r>
      <w:r w:rsidR="000D6878" w:rsidRPr="0096488C">
        <w:rPr>
          <w:bCs/>
          <w:szCs w:val="28"/>
        </w:rPr>
        <w:t>3.</w:t>
      </w:r>
      <w:r w:rsidR="00DC6FB0" w:rsidRPr="0096488C">
        <w:rPr>
          <w:szCs w:val="28"/>
        </w:rPr>
        <w:t>3</w:t>
      </w:r>
      <w:r w:rsidRPr="0096488C">
        <w:rPr>
          <w:szCs w:val="28"/>
        </w:rPr>
        <w:t xml:space="preserve">. </w:t>
      </w:r>
      <w:r w:rsidR="00541845" w:rsidRPr="0096488C">
        <w:rPr>
          <w:szCs w:val="28"/>
        </w:rPr>
        <w:t>Về q</w:t>
      </w:r>
      <w:r w:rsidR="00541845" w:rsidRPr="0096488C">
        <w:rPr>
          <w:rFonts w:eastAsia="Times New Roman"/>
          <w:szCs w:val="28"/>
          <w:lang w:val="en-GB" w:eastAsia="x-none"/>
        </w:rPr>
        <w:t>uy trình đề xuất hỗ trợ</w:t>
      </w:r>
      <w:r w:rsidR="00541845" w:rsidRPr="0096488C">
        <w:rPr>
          <w:szCs w:val="28"/>
        </w:rPr>
        <w:t xml:space="preserve"> (</w:t>
      </w:r>
      <w:r w:rsidR="00541845" w:rsidRPr="0096488C">
        <w:rPr>
          <w:rFonts w:eastAsia="Times New Roman"/>
          <w:szCs w:val="28"/>
          <w:lang w:val="en-GB" w:eastAsia="x-none"/>
        </w:rPr>
        <w:t>Điều</w:t>
      </w:r>
      <w:r w:rsidR="00541845" w:rsidRPr="0096488C">
        <w:rPr>
          <w:szCs w:val="28"/>
        </w:rPr>
        <w:t xml:space="preserve"> 17 dự thảo Nghị định)</w:t>
      </w:r>
    </w:p>
    <w:p w14:paraId="6D8283CD" w14:textId="24CDBB64" w:rsidR="00AD32DA" w:rsidRPr="0096488C" w:rsidRDefault="00DC6FB0" w:rsidP="0096488C">
      <w:pPr>
        <w:pStyle w:val="NormalWeb"/>
        <w:shd w:val="clear" w:color="auto" w:fill="FFFFFF"/>
        <w:spacing w:before="60" w:beforeAutospacing="0" w:after="60" w:afterAutospacing="0" w:line="264" w:lineRule="auto"/>
        <w:ind w:firstLine="709"/>
        <w:jc w:val="both"/>
        <w:rPr>
          <w:rFonts w:eastAsia="Calibri"/>
          <w:sz w:val="28"/>
          <w:szCs w:val="28"/>
          <w:lang w:val="de-DE"/>
        </w:rPr>
      </w:pPr>
      <w:r w:rsidRPr="0096488C">
        <w:rPr>
          <w:rFonts w:eastAsia="Calibri"/>
          <w:sz w:val="28"/>
          <w:szCs w:val="28"/>
          <w:lang w:val="de-DE"/>
        </w:rPr>
        <w:t xml:space="preserve">- </w:t>
      </w:r>
      <w:r w:rsidR="00D80AC3" w:rsidRPr="0096488C">
        <w:rPr>
          <w:rFonts w:eastAsia="Calibri"/>
          <w:sz w:val="28"/>
          <w:szCs w:val="28"/>
          <w:lang w:val="de-DE"/>
        </w:rPr>
        <w:t>Điều 17 dự thảo Nghị định quy định về quy trình hỗ trợ chung cho tất cả các chính sách, theo hướng tạo thuận lợi cho các tổ hợp tác, HTX, liên hiệp HTX tiếp cận được với các chính sách hỗ trợ của Nhà nước</w:t>
      </w:r>
      <w:r w:rsidR="00AE0C44" w:rsidRPr="0096488C">
        <w:rPr>
          <w:rFonts w:eastAsia="Calibri"/>
          <w:sz w:val="28"/>
          <w:szCs w:val="28"/>
          <w:lang w:val="de-DE"/>
        </w:rPr>
        <w:t xml:space="preserve">, phù hợp với quy trình hiện có của pháp luật về </w:t>
      </w:r>
      <w:r w:rsidR="002C4FFB" w:rsidRPr="0096488C">
        <w:rPr>
          <w:rFonts w:eastAsia="Calibri"/>
          <w:sz w:val="28"/>
          <w:szCs w:val="28"/>
          <w:lang w:val="de-DE"/>
        </w:rPr>
        <w:t>NSNN</w:t>
      </w:r>
      <w:r w:rsidR="00AE0C44" w:rsidRPr="0096488C">
        <w:rPr>
          <w:rFonts w:eastAsia="Calibri"/>
          <w:sz w:val="28"/>
          <w:szCs w:val="28"/>
          <w:lang w:val="de-DE"/>
        </w:rPr>
        <w:t xml:space="preserve">, về đầu tư công, </w:t>
      </w:r>
      <w:r w:rsidR="009553B6" w:rsidRPr="0096488C">
        <w:rPr>
          <w:rFonts w:eastAsia="Calibri"/>
          <w:sz w:val="28"/>
          <w:szCs w:val="28"/>
        </w:rPr>
        <w:t>đồng thời bổ sung các quy định đặc thù về</w:t>
      </w:r>
      <w:r w:rsidR="009553B6" w:rsidRPr="0096488C">
        <w:rPr>
          <w:rFonts w:eastAsia="Calibri"/>
          <w:sz w:val="28"/>
          <w:szCs w:val="28"/>
          <w:lang w:val="de-DE"/>
        </w:rPr>
        <w:t xml:space="preserve"> </w:t>
      </w:r>
      <w:r w:rsidR="00AE0C44" w:rsidRPr="0096488C">
        <w:rPr>
          <w:rFonts w:eastAsia="Calibri"/>
          <w:sz w:val="28"/>
          <w:szCs w:val="28"/>
          <w:lang w:val="de-DE"/>
        </w:rPr>
        <w:t>sự tham gia</w:t>
      </w:r>
      <w:r w:rsidR="00B6074B" w:rsidRPr="0096488C">
        <w:rPr>
          <w:rFonts w:eastAsia="Calibri"/>
          <w:sz w:val="28"/>
          <w:szCs w:val="28"/>
          <w:lang w:val="de-DE"/>
        </w:rPr>
        <w:t xml:space="preserve"> và giám sát</w:t>
      </w:r>
      <w:r w:rsidR="00AE0C44" w:rsidRPr="0096488C">
        <w:rPr>
          <w:rFonts w:eastAsia="Calibri"/>
          <w:sz w:val="28"/>
          <w:szCs w:val="28"/>
          <w:lang w:val="de-DE"/>
        </w:rPr>
        <w:t xml:space="preserve"> chủ động, tích cực của chính các tổ hợp tác, HTX, liên hiệp HTX ngay từ khâu đề xuất nhu cầu hỗ trợ, triển khai thực hiện, giám sát thực hiện chính sách</w:t>
      </w:r>
      <w:r w:rsidR="009553B6" w:rsidRPr="0096488C">
        <w:rPr>
          <w:rFonts w:eastAsia="Calibri"/>
          <w:sz w:val="28"/>
          <w:szCs w:val="28"/>
          <w:lang w:val="de-DE"/>
        </w:rPr>
        <w:t xml:space="preserve"> </w:t>
      </w:r>
      <w:r w:rsidR="009553B6" w:rsidRPr="0096488C">
        <w:rPr>
          <w:rFonts w:eastAsia="Calibri"/>
          <w:sz w:val="28"/>
          <w:szCs w:val="28"/>
        </w:rPr>
        <w:t>để bảo đảm các công trình hỗ trợ đúng đối tượng, nhu cầu và nâng cao hiệu quả đầu tư. Các quy định này là phù hợp với thẩm quyền của Chính phủ và cũng là nhiệm vụ để thể chế hóa Nghị quyết số 20-NQ/TW ngày 16/6/2022 (tại Nghị quyết số 09/NQ-CP ngày 02/02/2023 của Chính phủ Ban hành Ch</w:t>
      </w:r>
      <w:r w:rsidR="009553B6" w:rsidRPr="0096488C">
        <w:rPr>
          <w:rFonts w:eastAsia="Calibri" w:hint="eastAsia"/>
          <w:sz w:val="28"/>
          <w:szCs w:val="28"/>
        </w:rPr>
        <w:t>ươ</w:t>
      </w:r>
      <w:r w:rsidR="009553B6" w:rsidRPr="0096488C">
        <w:rPr>
          <w:rFonts w:eastAsia="Calibri"/>
          <w:sz w:val="28"/>
          <w:szCs w:val="28"/>
        </w:rPr>
        <w:t xml:space="preserve">ng trình hành </w:t>
      </w:r>
      <w:r w:rsidR="009553B6" w:rsidRPr="0096488C">
        <w:rPr>
          <w:rFonts w:eastAsia="Calibri" w:hint="eastAsia"/>
          <w:sz w:val="28"/>
          <w:szCs w:val="28"/>
        </w:rPr>
        <w:t>đ</w:t>
      </w:r>
      <w:r w:rsidR="009553B6" w:rsidRPr="0096488C">
        <w:rPr>
          <w:rFonts w:eastAsia="Calibri"/>
          <w:sz w:val="28"/>
          <w:szCs w:val="28"/>
        </w:rPr>
        <w:t>ộng của Chính phủ thực hiện Nghị quyết số 20-NQ/TW ngày 16/6/2022, Chính phủ đã giao Bộ Kế hoạch và Đầu tư đề xuất các quy định đặc thù trong sử dụng ngân sách nhà n</w:t>
      </w:r>
      <w:r w:rsidR="009553B6" w:rsidRPr="0096488C">
        <w:rPr>
          <w:rFonts w:eastAsia="Calibri" w:hint="eastAsia"/>
          <w:sz w:val="28"/>
          <w:szCs w:val="28"/>
        </w:rPr>
        <w:t>ư</w:t>
      </w:r>
      <w:r w:rsidR="009553B6" w:rsidRPr="0096488C">
        <w:rPr>
          <w:rFonts w:eastAsia="Calibri"/>
          <w:sz w:val="28"/>
          <w:szCs w:val="28"/>
        </w:rPr>
        <w:t>ớc thực hiện các chính sách hỗ trợ kinh tế tập thể)</w:t>
      </w:r>
      <w:r w:rsidR="00D80AC3" w:rsidRPr="0096488C">
        <w:rPr>
          <w:rFonts w:eastAsia="Calibri"/>
          <w:sz w:val="28"/>
          <w:szCs w:val="28"/>
          <w:lang w:val="de-DE"/>
        </w:rPr>
        <w:t>. Cụ thể:</w:t>
      </w:r>
    </w:p>
    <w:p w14:paraId="10745F8E" w14:textId="6B131A97" w:rsidR="000D3AED" w:rsidRPr="0096488C" w:rsidRDefault="0088746F" w:rsidP="0096488C">
      <w:pPr>
        <w:pStyle w:val="NormalWeb"/>
        <w:shd w:val="clear" w:color="auto" w:fill="FFFFFF"/>
        <w:spacing w:before="60" w:beforeAutospacing="0" w:after="60" w:afterAutospacing="0" w:line="264" w:lineRule="auto"/>
        <w:ind w:firstLine="709"/>
        <w:jc w:val="both"/>
        <w:rPr>
          <w:sz w:val="28"/>
          <w:szCs w:val="28"/>
          <w:lang w:val="de-DE"/>
        </w:rPr>
      </w:pPr>
      <w:r w:rsidRPr="0096488C">
        <w:rPr>
          <w:sz w:val="28"/>
          <w:szCs w:val="28"/>
        </w:rPr>
        <w:t>+</w:t>
      </w:r>
      <w:r w:rsidR="000D3AED" w:rsidRPr="0096488C">
        <w:rPr>
          <w:sz w:val="28"/>
          <w:szCs w:val="28"/>
        </w:rPr>
        <w:t xml:space="preserve"> </w:t>
      </w:r>
      <w:r w:rsidR="000D3AED" w:rsidRPr="0096488C">
        <w:rPr>
          <w:sz w:val="28"/>
          <w:szCs w:val="28"/>
          <w:lang w:val="de-DE"/>
        </w:rPr>
        <w:t xml:space="preserve">Tổ hợp tác, </w:t>
      </w:r>
      <w:r w:rsidR="00C54D58" w:rsidRPr="0096488C">
        <w:rPr>
          <w:sz w:val="28"/>
          <w:szCs w:val="28"/>
          <w:lang w:val="de-DE"/>
        </w:rPr>
        <w:t>HTX</w:t>
      </w:r>
      <w:r w:rsidR="000D3AED" w:rsidRPr="0096488C">
        <w:rPr>
          <w:sz w:val="28"/>
          <w:szCs w:val="28"/>
          <w:lang w:val="de-DE"/>
        </w:rPr>
        <w:t xml:space="preserve">, liên hiệp </w:t>
      </w:r>
      <w:r w:rsidR="00C54D58" w:rsidRPr="0096488C">
        <w:rPr>
          <w:sz w:val="28"/>
          <w:szCs w:val="28"/>
          <w:lang w:val="de-DE"/>
        </w:rPr>
        <w:t>HTX</w:t>
      </w:r>
      <w:r w:rsidR="000D3AED" w:rsidRPr="0096488C">
        <w:rPr>
          <w:sz w:val="28"/>
          <w:szCs w:val="28"/>
          <w:lang w:val="de-DE"/>
        </w:rPr>
        <w:t xml:space="preserve"> gửi </w:t>
      </w:r>
      <w:r w:rsidR="004D6EC8" w:rsidRPr="0096488C">
        <w:rPr>
          <w:sz w:val="28"/>
          <w:szCs w:val="28"/>
          <w:lang w:val="de-DE"/>
        </w:rPr>
        <w:t xml:space="preserve">01 bộ </w:t>
      </w:r>
      <w:r w:rsidR="000D3AED" w:rsidRPr="0096488C">
        <w:rPr>
          <w:sz w:val="28"/>
          <w:szCs w:val="28"/>
          <w:lang w:val="de-DE"/>
        </w:rPr>
        <w:t xml:space="preserve">Hồ sơ đề xuất nhu cầu hỗ trợ tới Ủy ban nhân dân cấp xã nơi đặt trụ sở chính </w:t>
      </w:r>
      <w:r w:rsidR="004D6EC8" w:rsidRPr="0096488C">
        <w:rPr>
          <w:sz w:val="28"/>
          <w:szCs w:val="28"/>
          <w:lang w:val="de-DE"/>
        </w:rPr>
        <w:t xml:space="preserve">của mình </w:t>
      </w:r>
      <w:r w:rsidR="000D3AED" w:rsidRPr="0096488C">
        <w:rPr>
          <w:sz w:val="28"/>
          <w:szCs w:val="28"/>
          <w:lang w:val="de-DE"/>
        </w:rPr>
        <w:t xml:space="preserve">bằng </w:t>
      </w:r>
      <w:r w:rsidR="000D3AED" w:rsidRPr="0096488C">
        <w:rPr>
          <w:sz w:val="28"/>
          <w:szCs w:val="28"/>
        </w:rPr>
        <w:t>nộp trực tiếp hoặc gửi qua dịch vụ bưu chính hoặc qua môi trường điện tử</w:t>
      </w:r>
      <w:r w:rsidR="000D3AED" w:rsidRPr="0096488C">
        <w:rPr>
          <w:sz w:val="28"/>
          <w:szCs w:val="28"/>
          <w:lang w:val="de-DE"/>
        </w:rPr>
        <w:t>.</w:t>
      </w:r>
    </w:p>
    <w:p w14:paraId="5B828973" w14:textId="37DEB947" w:rsidR="000D3AED" w:rsidRPr="0096488C" w:rsidRDefault="0088746F" w:rsidP="0096488C">
      <w:pPr>
        <w:pStyle w:val="NormalWeb"/>
        <w:shd w:val="clear" w:color="auto" w:fill="FFFFFF"/>
        <w:spacing w:before="60" w:beforeAutospacing="0" w:after="60" w:afterAutospacing="0" w:line="264" w:lineRule="auto"/>
        <w:ind w:firstLine="709"/>
        <w:jc w:val="both"/>
        <w:rPr>
          <w:sz w:val="28"/>
          <w:szCs w:val="28"/>
        </w:rPr>
      </w:pPr>
      <w:r w:rsidRPr="0096488C">
        <w:rPr>
          <w:sz w:val="28"/>
          <w:szCs w:val="28"/>
          <w:lang w:val="de-DE"/>
        </w:rPr>
        <w:t>+</w:t>
      </w:r>
      <w:r w:rsidR="000D3AED" w:rsidRPr="0096488C">
        <w:rPr>
          <w:sz w:val="28"/>
          <w:szCs w:val="28"/>
          <w:lang w:val="de-DE"/>
        </w:rPr>
        <w:t xml:space="preserve"> </w:t>
      </w:r>
      <w:r w:rsidR="000D3AED" w:rsidRPr="0096488C">
        <w:rPr>
          <w:sz w:val="28"/>
          <w:szCs w:val="28"/>
        </w:rPr>
        <w:t>Hồ sơ đề xuất nhu cầu hỗ trợ gồm: Đ</w:t>
      </w:r>
      <w:r w:rsidR="004D6EC8" w:rsidRPr="0096488C">
        <w:rPr>
          <w:sz w:val="28"/>
          <w:szCs w:val="28"/>
        </w:rPr>
        <w:t xml:space="preserve">ơn </w:t>
      </w:r>
      <w:r w:rsidR="000D3AED" w:rsidRPr="0096488C">
        <w:rPr>
          <w:sz w:val="28"/>
          <w:szCs w:val="28"/>
        </w:rPr>
        <w:t xml:space="preserve">theo mẫu </w:t>
      </w:r>
      <w:r w:rsidR="004D6EC8" w:rsidRPr="0096488C">
        <w:rPr>
          <w:sz w:val="28"/>
          <w:szCs w:val="28"/>
        </w:rPr>
        <w:t>(</w:t>
      </w:r>
      <w:r w:rsidR="000D3AED" w:rsidRPr="0096488C">
        <w:rPr>
          <w:sz w:val="28"/>
          <w:szCs w:val="28"/>
        </w:rPr>
        <w:t>Phụ lục ban hành kèm theo Nghị định</w:t>
      </w:r>
      <w:r w:rsidR="004D6EC8" w:rsidRPr="0096488C">
        <w:rPr>
          <w:sz w:val="28"/>
          <w:szCs w:val="28"/>
        </w:rPr>
        <w:t>)</w:t>
      </w:r>
      <w:r w:rsidR="000D3AED" w:rsidRPr="0096488C">
        <w:rPr>
          <w:sz w:val="28"/>
          <w:szCs w:val="28"/>
        </w:rPr>
        <w:t xml:space="preserve">; </w:t>
      </w:r>
      <w:r w:rsidR="00B21AB0" w:rsidRPr="0096488C">
        <w:rPr>
          <w:sz w:val="28"/>
          <w:szCs w:val="28"/>
        </w:rPr>
        <w:t>các</w:t>
      </w:r>
      <w:r w:rsidR="000D3AED" w:rsidRPr="0096488C">
        <w:rPr>
          <w:sz w:val="28"/>
          <w:szCs w:val="28"/>
        </w:rPr>
        <w:t xml:space="preserve"> tài liệu, hồ sơ liên quan chứng minh sự phù hợp các tiêu chí, điều kiện thụ hưởng theo từng nội dung đề xuất hỗ trợ (nếu có).</w:t>
      </w:r>
    </w:p>
    <w:p w14:paraId="32100C6F" w14:textId="0CE93439" w:rsidR="00B7121E" w:rsidRPr="0096488C" w:rsidRDefault="0088746F" w:rsidP="0096488C">
      <w:pPr>
        <w:spacing w:before="60" w:after="60" w:line="264" w:lineRule="auto"/>
        <w:ind w:firstLine="709"/>
        <w:jc w:val="both"/>
        <w:rPr>
          <w:rFonts w:cs="Times New Roman"/>
          <w:spacing w:val="3"/>
          <w:szCs w:val="28"/>
          <w:shd w:val="clear" w:color="auto" w:fill="FFFFFF"/>
        </w:rPr>
      </w:pPr>
      <w:r w:rsidRPr="0096488C">
        <w:rPr>
          <w:rFonts w:cs="Times New Roman"/>
          <w:szCs w:val="28"/>
        </w:rPr>
        <w:t>+</w:t>
      </w:r>
      <w:r w:rsidR="000D3AED" w:rsidRPr="0096488C">
        <w:rPr>
          <w:rFonts w:cs="Times New Roman"/>
          <w:szCs w:val="28"/>
        </w:rPr>
        <w:t xml:space="preserve"> Ủy ban nhân dân cấp xã xem xét, thực hiện hỗ trợ cho tổ hợp tác, </w:t>
      </w:r>
      <w:r w:rsidR="00C54D58" w:rsidRPr="0096488C">
        <w:rPr>
          <w:rFonts w:cs="Times New Roman"/>
          <w:szCs w:val="28"/>
        </w:rPr>
        <w:t>HTX</w:t>
      </w:r>
      <w:r w:rsidR="000D3AED" w:rsidRPr="0096488C">
        <w:rPr>
          <w:rFonts w:cs="Times New Roman"/>
          <w:szCs w:val="28"/>
        </w:rPr>
        <w:t xml:space="preserve">, liên hiệp </w:t>
      </w:r>
      <w:r w:rsidR="00C54D58" w:rsidRPr="0096488C">
        <w:rPr>
          <w:rFonts w:cs="Times New Roman"/>
          <w:szCs w:val="28"/>
        </w:rPr>
        <w:t>HTX</w:t>
      </w:r>
      <w:r w:rsidR="000D3AED" w:rsidRPr="0096488C">
        <w:rPr>
          <w:rFonts w:cs="Times New Roman"/>
          <w:szCs w:val="28"/>
        </w:rPr>
        <w:t xml:space="preserve"> khi có khả năng và nguồn lực hỗ trợ</w:t>
      </w:r>
      <w:r w:rsidR="00B21AB0" w:rsidRPr="0096488C">
        <w:rPr>
          <w:rFonts w:cs="Times New Roman"/>
          <w:szCs w:val="28"/>
        </w:rPr>
        <w:t>;</w:t>
      </w:r>
      <w:r w:rsidR="000D3AED" w:rsidRPr="0096488C">
        <w:rPr>
          <w:rFonts w:cs="Times New Roman"/>
          <w:szCs w:val="28"/>
        </w:rPr>
        <w:t xml:space="preserve"> </w:t>
      </w:r>
      <w:r w:rsidR="00B21AB0" w:rsidRPr="0096488C">
        <w:rPr>
          <w:rFonts w:cs="Times New Roman"/>
          <w:szCs w:val="28"/>
        </w:rPr>
        <w:t>t</w:t>
      </w:r>
      <w:r w:rsidR="000D3AED" w:rsidRPr="0096488C">
        <w:rPr>
          <w:rFonts w:cs="Times New Roman"/>
          <w:szCs w:val="28"/>
        </w:rPr>
        <w:t xml:space="preserve">rường hợp không có điều kiện trực tiếp hỗ trợ, </w:t>
      </w:r>
      <w:r w:rsidR="00B21AB0" w:rsidRPr="0096488C">
        <w:rPr>
          <w:rFonts w:cs="Times New Roman"/>
          <w:szCs w:val="28"/>
        </w:rPr>
        <w:t>thì</w:t>
      </w:r>
      <w:r w:rsidR="000D3AED" w:rsidRPr="0096488C">
        <w:rPr>
          <w:rFonts w:cs="Times New Roman"/>
          <w:szCs w:val="28"/>
        </w:rPr>
        <w:t xml:space="preserve"> tổng hợp nhu cầu của các tổ hợp tác, </w:t>
      </w:r>
      <w:r w:rsidR="00C54D58" w:rsidRPr="0096488C">
        <w:rPr>
          <w:rFonts w:cs="Times New Roman"/>
          <w:szCs w:val="28"/>
        </w:rPr>
        <w:t>HTX</w:t>
      </w:r>
      <w:r w:rsidR="000D3AED" w:rsidRPr="0096488C">
        <w:rPr>
          <w:rFonts w:cs="Times New Roman"/>
          <w:szCs w:val="28"/>
        </w:rPr>
        <w:t xml:space="preserve">, liên hiệp </w:t>
      </w:r>
      <w:r w:rsidR="00C54D58" w:rsidRPr="0096488C">
        <w:rPr>
          <w:rFonts w:cs="Times New Roman"/>
          <w:szCs w:val="28"/>
        </w:rPr>
        <w:t>HTX</w:t>
      </w:r>
      <w:r w:rsidR="000D3AED" w:rsidRPr="0096488C">
        <w:rPr>
          <w:rFonts w:cs="Times New Roman"/>
          <w:szCs w:val="28"/>
        </w:rPr>
        <w:t xml:space="preserve"> trên địa bàn, gửi Ủy ban nhân cấp huyện tổng hợp chung, làm căn cứ để cơ quan có thẩm quyền xét duyệt và</w:t>
      </w:r>
      <w:r w:rsidR="000D3AED" w:rsidRPr="0096488C">
        <w:rPr>
          <w:rFonts w:cs="Times New Roman"/>
          <w:spacing w:val="3"/>
          <w:szCs w:val="28"/>
          <w:shd w:val="clear" w:color="auto" w:fill="FFFFFF"/>
        </w:rPr>
        <w:t xml:space="preserve"> </w:t>
      </w:r>
      <w:r w:rsidR="000D3AED" w:rsidRPr="0096488C">
        <w:rPr>
          <w:rFonts w:cs="Times New Roman"/>
          <w:szCs w:val="28"/>
        </w:rPr>
        <w:t>hỗ trợ</w:t>
      </w:r>
      <w:r w:rsidR="000D3AED" w:rsidRPr="0096488C">
        <w:rPr>
          <w:rFonts w:cs="Times New Roman"/>
          <w:spacing w:val="3"/>
          <w:szCs w:val="28"/>
          <w:shd w:val="clear" w:color="auto" w:fill="FFFFFF"/>
        </w:rPr>
        <w:t>.</w:t>
      </w:r>
    </w:p>
    <w:p w14:paraId="5894E190" w14:textId="69852600" w:rsidR="00B7121E" w:rsidRPr="0096488C" w:rsidRDefault="00B7121E" w:rsidP="00B7121E">
      <w:pPr>
        <w:spacing w:before="60" w:after="60" w:line="264" w:lineRule="auto"/>
        <w:ind w:firstLine="709"/>
        <w:jc w:val="both"/>
        <w:rPr>
          <w:rFonts w:cs="Times New Roman"/>
          <w:spacing w:val="3"/>
          <w:szCs w:val="28"/>
          <w:shd w:val="clear" w:color="auto" w:fill="FFFFFF"/>
        </w:rPr>
      </w:pPr>
      <w:r w:rsidRPr="0096488C">
        <w:rPr>
          <w:rFonts w:cs="Times New Roman"/>
          <w:spacing w:val="3"/>
          <w:szCs w:val="28"/>
          <w:shd w:val="clear" w:color="auto" w:fill="FFFFFF"/>
        </w:rPr>
        <w:t xml:space="preserve">+ </w:t>
      </w:r>
      <w:r w:rsidRPr="0096488C">
        <w:rPr>
          <w:rFonts w:cs="Times New Roman"/>
          <w:szCs w:val="28"/>
        </w:rPr>
        <w:t>Ủy ban nhân dân cấp huyện xem xét, thực hiện hỗ trợ cho tổ hợp tác, HTX, liên hiệp HTX khi có khả năng và nguồn lực hỗ trợ; trường hợp không có điều kiện trực tiếp hỗ trợ, thì tổng hợp nhu cầu của các tổ hợp tác, HTX, liên hiệp HTX trên địa bàn gửi cơ quan, đơn vị có khả năng, thẩm quyền hỗ trợ,</w:t>
      </w:r>
      <w:r w:rsidR="00541845" w:rsidRPr="0096488C">
        <w:rPr>
          <w:rFonts w:cs="Times New Roman"/>
          <w:szCs w:val="28"/>
        </w:rPr>
        <w:t xml:space="preserve"> hoặc gửi </w:t>
      </w:r>
      <w:r w:rsidRPr="0096488C">
        <w:rPr>
          <w:rFonts w:cs="Times New Roman"/>
          <w:szCs w:val="28"/>
        </w:rPr>
        <w:t>Ủy ban nhân cấp tỉnh xem xét và</w:t>
      </w:r>
      <w:r w:rsidRPr="0096488C">
        <w:rPr>
          <w:rFonts w:cs="Times New Roman"/>
          <w:spacing w:val="3"/>
          <w:szCs w:val="28"/>
          <w:shd w:val="clear" w:color="auto" w:fill="FFFFFF"/>
        </w:rPr>
        <w:t xml:space="preserve"> </w:t>
      </w:r>
      <w:r w:rsidRPr="0096488C">
        <w:rPr>
          <w:rFonts w:cs="Times New Roman"/>
          <w:szCs w:val="28"/>
        </w:rPr>
        <w:t>hỗ trợ</w:t>
      </w:r>
      <w:r w:rsidRPr="0096488C">
        <w:rPr>
          <w:rFonts w:cs="Times New Roman"/>
          <w:spacing w:val="3"/>
          <w:szCs w:val="28"/>
          <w:shd w:val="clear" w:color="auto" w:fill="FFFFFF"/>
        </w:rPr>
        <w:t>.</w:t>
      </w:r>
    </w:p>
    <w:p w14:paraId="0387CF1D" w14:textId="73F0406B" w:rsidR="00B4561C" w:rsidRPr="0096488C" w:rsidRDefault="0088746F" w:rsidP="0096488C">
      <w:pPr>
        <w:pStyle w:val="NormalWeb"/>
        <w:shd w:val="clear" w:color="auto" w:fill="FFFFFF"/>
        <w:spacing w:before="60" w:beforeAutospacing="0" w:after="60" w:afterAutospacing="0" w:line="264" w:lineRule="auto"/>
        <w:ind w:firstLine="709"/>
        <w:jc w:val="both"/>
        <w:rPr>
          <w:sz w:val="28"/>
          <w:szCs w:val="28"/>
          <w:shd w:val="clear" w:color="auto" w:fill="FFFFFF"/>
        </w:rPr>
      </w:pPr>
      <w:r w:rsidRPr="0096488C">
        <w:rPr>
          <w:sz w:val="28"/>
          <w:szCs w:val="28"/>
          <w:shd w:val="clear" w:color="auto" w:fill="FFFFFF"/>
        </w:rPr>
        <w:t>+</w:t>
      </w:r>
      <w:r w:rsidR="00B4561C" w:rsidRPr="0096488C">
        <w:rPr>
          <w:sz w:val="28"/>
          <w:szCs w:val="28"/>
          <w:shd w:val="clear" w:color="auto" w:fill="FFFFFF"/>
        </w:rPr>
        <w:t xml:space="preserve"> Hồ sơ trình cấp có thẩm quyền phê duyệt chủ trương đầu tư, phê duyệt đầu tư phải bao gồm văn bản của tổ hợp tác, </w:t>
      </w:r>
      <w:r w:rsidR="003F3123" w:rsidRPr="0096488C">
        <w:rPr>
          <w:sz w:val="28"/>
          <w:szCs w:val="28"/>
          <w:shd w:val="clear" w:color="auto" w:fill="FFFFFF"/>
        </w:rPr>
        <w:t>HTX</w:t>
      </w:r>
      <w:r w:rsidR="00B4561C" w:rsidRPr="0096488C">
        <w:rPr>
          <w:sz w:val="28"/>
          <w:szCs w:val="28"/>
          <w:shd w:val="clear" w:color="auto" w:fill="FFFFFF"/>
        </w:rPr>
        <w:t xml:space="preserve">, liên hiệp </w:t>
      </w:r>
      <w:r w:rsidR="003F3123" w:rsidRPr="0096488C">
        <w:rPr>
          <w:sz w:val="28"/>
          <w:szCs w:val="28"/>
          <w:shd w:val="clear" w:color="auto" w:fill="FFFFFF"/>
        </w:rPr>
        <w:t>HTX</w:t>
      </w:r>
      <w:r w:rsidR="00B4561C" w:rsidRPr="0096488C">
        <w:rPr>
          <w:sz w:val="28"/>
          <w:szCs w:val="28"/>
          <w:shd w:val="clear" w:color="auto" w:fill="FFFFFF"/>
        </w:rPr>
        <w:t xml:space="preserve"> thống nhất về nội dung hỗ trợ liên quan đến tổ hợp tác, </w:t>
      </w:r>
      <w:r w:rsidR="003F3123" w:rsidRPr="0096488C">
        <w:rPr>
          <w:sz w:val="28"/>
          <w:szCs w:val="28"/>
          <w:shd w:val="clear" w:color="auto" w:fill="FFFFFF"/>
        </w:rPr>
        <w:t>HTX</w:t>
      </w:r>
      <w:r w:rsidR="00B4561C" w:rsidRPr="0096488C">
        <w:rPr>
          <w:sz w:val="28"/>
          <w:szCs w:val="28"/>
          <w:shd w:val="clear" w:color="auto" w:fill="FFFFFF"/>
        </w:rPr>
        <w:t xml:space="preserve">, liên hiệp </w:t>
      </w:r>
      <w:r w:rsidR="00F56E0B" w:rsidRPr="0096488C">
        <w:rPr>
          <w:sz w:val="28"/>
          <w:szCs w:val="28"/>
          <w:shd w:val="clear" w:color="auto" w:fill="FFFFFF"/>
        </w:rPr>
        <w:t>HTX</w:t>
      </w:r>
      <w:r w:rsidR="00B4561C" w:rsidRPr="0096488C">
        <w:rPr>
          <w:sz w:val="28"/>
          <w:szCs w:val="28"/>
          <w:shd w:val="clear" w:color="auto" w:fill="FFFFFF"/>
        </w:rPr>
        <w:t xml:space="preserve"> đó. </w:t>
      </w:r>
    </w:p>
    <w:p w14:paraId="0C2149A7" w14:textId="2350960C" w:rsidR="00B4561C" w:rsidRPr="0096488C" w:rsidRDefault="0088746F" w:rsidP="0096488C">
      <w:pPr>
        <w:pStyle w:val="NormalWeb"/>
        <w:shd w:val="clear" w:color="auto" w:fill="FFFFFF"/>
        <w:spacing w:before="60" w:beforeAutospacing="0" w:after="60" w:afterAutospacing="0" w:line="264" w:lineRule="auto"/>
        <w:ind w:firstLine="709"/>
        <w:jc w:val="both"/>
        <w:rPr>
          <w:sz w:val="28"/>
          <w:szCs w:val="28"/>
          <w:shd w:val="clear" w:color="auto" w:fill="FFFFFF"/>
        </w:rPr>
      </w:pPr>
      <w:r w:rsidRPr="0096488C">
        <w:rPr>
          <w:sz w:val="28"/>
          <w:szCs w:val="28"/>
          <w:shd w:val="clear" w:color="auto" w:fill="FFFFFF"/>
        </w:rPr>
        <w:lastRenderedPageBreak/>
        <w:t>+</w:t>
      </w:r>
      <w:r w:rsidR="00B4561C" w:rsidRPr="0096488C">
        <w:rPr>
          <w:sz w:val="28"/>
          <w:szCs w:val="28"/>
          <w:shd w:val="clear" w:color="auto" w:fill="FFFFFF"/>
        </w:rPr>
        <w:t xml:space="preserve"> Thành viên Ban Giám sát đầu tư của cộng đồng: Ngoài thành phần theo quy định tại khoản 1 Điều 17 Nghị định số 59/2023/NĐ-CP ngày 1</w:t>
      </w:r>
      <w:r w:rsidR="00A460A8">
        <w:rPr>
          <w:sz w:val="28"/>
          <w:szCs w:val="28"/>
          <w:shd w:val="clear" w:color="auto" w:fill="FFFFFF"/>
        </w:rPr>
        <w:t>4/</w:t>
      </w:r>
      <w:r w:rsidR="00B4561C" w:rsidRPr="0096488C">
        <w:rPr>
          <w:sz w:val="28"/>
          <w:szCs w:val="28"/>
          <w:shd w:val="clear" w:color="auto" w:fill="FFFFFF"/>
        </w:rPr>
        <w:t>8</w:t>
      </w:r>
      <w:r w:rsidR="00A460A8">
        <w:rPr>
          <w:sz w:val="28"/>
          <w:szCs w:val="28"/>
          <w:shd w:val="clear" w:color="auto" w:fill="FFFFFF"/>
        </w:rPr>
        <w:t>/</w:t>
      </w:r>
      <w:r w:rsidR="00B4561C" w:rsidRPr="0096488C">
        <w:rPr>
          <w:sz w:val="28"/>
          <w:szCs w:val="28"/>
          <w:shd w:val="clear" w:color="auto" w:fill="FFFFFF"/>
        </w:rPr>
        <w:t xml:space="preserve">2023 của Chính phủ quy định chi tiết một số điều Luật </w:t>
      </w:r>
      <w:r w:rsidR="00A0779D" w:rsidRPr="0096488C">
        <w:rPr>
          <w:sz w:val="28"/>
          <w:szCs w:val="28"/>
          <w:lang w:val="eu-ES"/>
        </w:rPr>
        <w:t xml:space="preserve">Thực hiện dân chủ ở cơ sở </w:t>
      </w:r>
      <w:r w:rsidR="00B4561C" w:rsidRPr="0096488C">
        <w:rPr>
          <w:sz w:val="28"/>
          <w:szCs w:val="28"/>
          <w:shd w:val="clear" w:color="auto" w:fill="FFFFFF"/>
        </w:rPr>
        <w:t xml:space="preserve">phải bổ sung tối thiểu 02 thành viên đại diện tổ hợp tác, </w:t>
      </w:r>
      <w:r w:rsidR="003F3123" w:rsidRPr="0096488C">
        <w:rPr>
          <w:sz w:val="28"/>
          <w:szCs w:val="28"/>
          <w:shd w:val="clear" w:color="auto" w:fill="FFFFFF"/>
        </w:rPr>
        <w:t>HTX</w:t>
      </w:r>
      <w:r w:rsidR="00B4561C" w:rsidRPr="0096488C">
        <w:rPr>
          <w:sz w:val="28"/>
          <w:szCs w:val="28"/>
          <w:shd w:val="clear" w:color="auto" w:fill="FFFFFF"/>
        </w:rPr>
        <w:t xml:space="preserve">, liên hiệp </w:t>
      </w:r>
      <w:r w:rsidR="003F3123" w:rsidRPr="0096488C">
        <w:rPr>
          <w:sz w:val="28"/>
          <w:szCs w:val="28"/>
          <w:shd w:val="clear" w:color="auto" w:fill="FFFFFF"/>
        </w:rPr>
        <w:t>HTX</w:t>
      </w:r>
      <w:r w:rsidR="00B4561C" w:rsidRPr="0096488C">
        <w:rPr>
          <w:sz w:val="28"/>
          <w:szCs w:val="28"/>
          <w:shd w:val="clear" w:color="auto" w:fill="FFFFFF"/>
        </w:rPr>
        <w:t xml:space="preserve"> được hỗ trợ; </w:t>
      </w:r>
    </w:p>
    <w:p w14:paraId="2664BBEF" w14:textId="027A45DA" w:rsidR="00B4561C" w:rsidRPr="0096488C" w:rsidRDefault="0088746F" w:rsidP="0096488C">
      <w:pPr>
        <w:spacing w:before="60" w:after="60" w:line="264" w:lineRule="auto"/>
        <w:ind w:firstLine="709"/>
        <w:jc w:val="both"/>
        <w:rPr>
          <w:rFonts w:cs="Times New Roman"/>
          <w:spacing w:val="3"/>
          <w:szCs w:val="28"/>
          <w:shd w:val="clear" w:color="auto" w:fill="FFFFFF"/>
        </w:rPr>
      </w:pPr>
      <w:r w:rsidRPr="0096488C">
        <w:rPr>
          <w:rFonts w:cs="Times New Roman"/>
          <w:spacing w:val="3"/>
          <w:szCs w:val="28"/>
          <w:shd w:val="clear" w:color="auto" w:fill="FFFFFF"/>
        </w:rPr>
        <w:t>+</w:t>
      </w:r>
      <w:r w:rsidR="00B4561C" w:rsidRPr="0096488C">
        <w:rPr>
          <w:rFonts w:cs="Times New Roman"/>
          <w:spacing w:val="3"/>
          <w:szCs w:val="28"/>
          <w:shd w:val="clear" w:color="auto" w:fill="FFFFFF"/>
        </w:rPr>
        <w:t xml:space="preserve"> Hồ sơ bàn giao hạ tầng, trang thiết bị sau đầu tư phải bao gồm văn bản chấp thuận tiếp nhận của tổ hợp tác, </w:t>
      </w:r>
      <w:r w:rsidR="003F3123" w:rsidRPr="0096488C">
        <w:rPr>
          <w:rFonts w:cs="Times New Roman"/>
          <w:spacing w:val="3"/>
          <w:szCs w:val="28"/>
          <w:shd w:val="clear" w:color="auto" w:fill="FFFFFF"/>
        </w:rPr>
        <w:t>HTX</w:t>
      </w:r>
      <w:r w:rsidR="00B4561C" w:rsidRPr="0096488C">
        <w:rPr>
          <w:rFonts w:cs="Times New Roman"/>
          <w:spacing w:val="3"/>
          <w:szCs w:val="28"/>
          <w:shd w:val="clear" w:color="auto" w:fill="FFFFFF"/>
        </w:rPr>
        <w:t xml:space="preserve">, liên hiệp </w:t>
      </w:r>
      <w:r w:rsidR="003F3123" w:rsidRPr="0096488C">
        <w:rPr>
          <w:rFonts w:cs="Times New Roman"/>
          <w:spacing w:val="3"/>
          <w:szCs w:val="28"/>
          <w:shd w:val="clear" w:color="auto" w:fill="FFFFFF"/>
        </w:rPr>
        <w:t>HTX</w:t>
      </w:r>
      <w:r w:rsidR="00B4561C" w:rsidRPr="0096488C">
        <w:rPr>
          <w:rFonts w:cs="Times New Roman"/>
          <w:spacing w:val="3"/>
          <w:szCs w:val="28"/>
          <w:shd w:val="clear" w:color="auto" w:fill="FFFFFF"/>
        </w:rPr>
        <w:t>.</w:t>
      </w:r>
    </w:p>
    <w:p w14:paraId="0055AA06" w14:textId="053A9181" w:rsidR="00F477E5" w:rsidRPr="0096488C" w:rsidRDefault="00F477E5" w:rsidP="00F477E5">
      <w:pPr>
        <w:pStyle w:val="Noidung"/>
        <w:spacing w:before="60" w:after="60" w:line="264" w:lineRule="auto"/>
        <w:rPr>
          <w:szCs w:val="28"/>
        </w:rPr>
      </w:pPr>
      <w:r w:rsidRPr="0096488C">
        <w:rPr>
          <w:szCs w:val="28"/>
        </w:rPr>
        <w:t xml:space="preserve">- Quy định về trách nhiệm của tổ hợp tác, HTX, liên hiệp HTX trong việc cung cấp thông tin chính xác, trung thực cho cơ quan có thẩm quyền xem xét lựa chọn đối tượng thụ hưởng chính sách hỗ trợ của Nhà nước; tổ hợp tác, HTX, liên hiệp HTX bị dừng hỗ trợ, xử lý vi phạm theo quy định của pháp luật trong trường hợp khai không trung thực hoặc </w:t>
      </w:r>
      <w:r w:rsidRPr="0096488C">
        <w:rPr>
          <w:szCs w:val="28"/>
          <w:lang w:val="de-DE"/>
        </w:rPr>
        <w:t xml:space="preserve">vi phạm các tiêu chí </w:t>
      </w:r>
      <w:r w:rsidR="00604FC6" w:rsidRPr="0096488C">
        <w:rPr>
          <w:szCs w:val="28"/>
          <w:lang w:val="de-DE"/>
        </w:rPr>
        <w:t xml:space="preserve">tương ứng </w:t>
      </w:r>
      <w:r w:rsidRPr="0096488C">
        <w:rPr>
          <w:szCs w:val="28"/>
          <w:lang w:val="de-DE"/>
        </w:rPr>
        <w:t xml:space="preserve">quy định tại điểm a khoản </w:t>
      </w:r>
      <w:r w:rsidR="00604FC6" w:rsidRPr="0096488C">
        <w:rPr>
          <w:szCs w:val="28"/>
          <w:lang w:val="de-DE"/>
        </w:rPr>
        <w:t>2</w:t>
      </w:r>
      <w:r w:rsidRPr="0096488C">
        <w:rPr>
          <w:szCs w:val="28"/>
          <w:lang w:val="de-DE"/>
        </w:rPr>
        <w:t xml:space="preserve">, điểm a khoản </w:t>
      </w:r>
      <w:r w:rsidR="00604FC6" w:rsidRPr="0096488C">
        <w:rPr>
          <w:szCs w:val="28"/>
          <w:lang w:val="de-DE"/>
        </w:rPr>
        <w:t>1</w:t>
      </w:r>
      <w:r w:rsidRPr="0096488C">
        <w:rPr>
          <w:szCs w:val="28"/>
          <w:lang w:val="de-DE"/>
        </w:rPr>
        <w:t xml:space="preserve"> Điều 6 dự thảo Nghị định</w:t>
      </w:r>
      <w:r w:rsidRPr="0096488C">
        <w:rPr>
          <w:szCs w:val="28"/>
        </w:rPr>
        <w:t>.</w:t>
      </w:r>
    </w:p>
    <w:p w14:paraId="67D2E884" w14:textId="255E5F5D" w:rsidR="00A83B50" w:rsidRPr="0096488C" w:rsidRDefault="007E215F" w:rsidP="0096488C">
      <w:pPr>
        <w:pStyle w:val="Heading4"/>
        <w:spacing w:before="60" w:after="60"/>
        <w:rPr>
          <w:lang w:val="en-US"/>
        </w:rPr>
      </w:pPr>
      <w:r w:rsidRPr="0096488C">
        <w:rPr>
          <w:lang w:val="en-US"/>
        </w:rPr>
        <w:t>2.4</w:t>
      </w:r>
      <w:r w:rsidR="00E727BE" w:rsidRPr="0096488C">
        <w:rPr>
          <w:lang w:val="en-US"/>
        </w:rPr>
        <w:t>.</w:t>
      </w:r>
      <w:r w:rsidR="00A83B50" w:rsidRPr="0096488C">
        <w:rPr>
          <w:lang w:val="en-US"/>
        </w:rPr>
        <w:t xml:space="preserve"> Chương I</w:t>
      </w:r>
      <w:r w:rsidR="00CD1A9B" w:rsidRPr="0096488C">
        <w:rPr>
          <w:lang w:val="en-US"/>
        </w:rPr>
        <w:t>V</w:t>
      </w:r>
      <w:r w:rsidR="00463F80" w:rsidRPr="0096488C">
        <w:rPr>
          <w:lang w:val="en-US"/>
        </w:rPr>
        <w:t xml:space="preserve"> về</w:t>
      </w:r>
      <w:r w:rsidR="00A83B50" w:rsidRPr="0096488C">
        <w:rPr>
          <w:lang w:val="en-US"/>
        </w:rPr>
        <w:t xml:space="preserve"> </w:t>
      </w:r>
      <w:r w:rsidR="00694BD0" w:rsidRPr="0096488C">
        <w:rPr>
          <w:lang w:val="en-US"/>
        </w:rPr>
        <w:t xml:space="preserve">Tài sản, tài chính của </w:t>
      </w:r>
      <w:r w:rsidR="00746A03" w:rsidRPr="0096488C">
        <w:rPr>
          <w:lang w:val="en-US"/>
        </w:rPr>
        <w:t>HTX</w:t>
      </w:r>
      <w:r w:rsidR="00694BD0" w:rsidRPr="0096488C">
        <w:rPr>
          <w:lang w:val="en-US"/>
        </w:rPr>
        <w:t xml:space="preserve">, liên hiệp </w:t>
      </w:r>
      <w:r w:rsidR="00746A03" w:rsidRPr="0096488C">
        <w:rPr>
          <w:lang w:val="en-US"/>
        </w:rPr>
        <w:t>HTX</w:t>
      </w:r>
    </w:p>
    <w:p w14:paraId="2446CED2" w14:textId="2C4D7DE5" w:rsidR="004B2138" w:rsidRPr="0096488C" w:rsidRDefault="007E215F" w:rsidP="0096488C">
      <w:pPr>
        <w:pStyle w:val="Heading5"/>
        <w:spacing w:before="60" w:after="60" w:line="264" w:lineRule="auto"/>
      </w:pPr>
      <w:r w:rsidRPr="0096488C">
        <w:t>2.4</w:t>
      </w:r>
      <w:r w:rsidR="004B2138" w:rsidRPr="0096488C">
        <w:t xml:space="preserve">.1. </w:t>
      </w:r>
      <w:r w:rsidR="006A28EA" w:rsidRPr="0096488C">
        <w:t>Về hoạt động thành lập doanh nghiệp và góp vốn, mua cổ phần (Điều 18 dự thảo Nghị định)</w:t>
      </w:r>
      <w:r w:rsidR="006A28EA" w:rsidRPr="0096488C" w:rsidDel="00EB0207">
        <w:t xml:space="preserve"> </w:t>
      </w:r>
    </w:p>
    <w:p w14:paraId="5B945F02" w14:textId="656115FF" w:rsidR="009839AF" w:rsidRPr="0096488C" w:rsidRDefault="004A44E7" w:rsidP="0096488C">
      <w:pPr>
        <w:spacing w:before="60" w:after="60" w:line="264" w:lineRule="auto"/>
        <w:ind w:firstLine="720"/>
        <w:jc w:val="both"/>
        <w:rPr>
          <w:rFonts w:cs="Times New Roman"/>
          <w:szCs w:val="28"/>
        </w:rPr>
      </w:pPr>
      <w:r w:rsidRPr="0096488C">
        <w:rPr>
          <w:rFonts w:cs="Times New Roman"/>
          <w:szCs w:val="28"/>
        </w:rPr>
        <w:t>Điều 1</w:t>
      </w:r>
      <w:r w:rsidR="006A28EA" w:rsidRPr="0096488C">
        <w:rPr>
          <w:rFonts w:cs="Times New Roman"/>
          <w:szCs w:val="28"/>
        </w:rPr>
        <w:t>8</w:t>
      </w:r>
      <w:r w:rsidR="00EB0207" w:rsidRPr="0096488C">
        <w:rPr>
          <w:rFonts w:cs="Times New Roman"/>
          <w:szCs w:val="28"/>
        </w:rPr>
        <w:t xml:space="preserve"> dự thảo Nghị định</w:t>
      </w:r>
      <w:r w:rsidRPr="0096488C">
        <w:rPr>
          <w:rFonts w:cs="Times New Roman"/>
          <w:szCs w:val="28"/>
        </w:rPr>
        <w:t xml:space="preserve"> quy định chi tiết Điều 81</w:t>
      </w:r>
      <w:r w:rsidR="00616976" w:rsidRPr="0096488C">
        <w:rPr>
          <w:rFonts w:cs="Times New Roman"/>
          <w:szCs w:val="28"/>
        </w:rPr>
        <w:t>, 82</w:t>
      </w:r>
      <w:r w:rsidRPr="0096488C">
        <w:rPr>
          <w:rFonts w:cs="Times New Roman"/>
          <w:szCs w:val="28"/>
        </w:rPr>
        <w:t xml:space="preserve"> Luật HTX về điều kiện </w:t>
      </w:r>
      <w:r w:rsidRPr="0096488C">
        <w:rPr>
          <w:rFonts w:cs="Times New Roman"/>
          <w:szCs w:val="28"/>
          <w:lang w:val="pt-BR"/>
        </w:rPr>
        <w:t>thành lập doanh nghiệp</w:t>
      </w:r>
      <w:r w:rsidR="00616976" w:rsidRPr="0096488C">
        <w:rPr>
          <w:rFonts w:cs="Times New Roman"/>
          <w:szCs w:val="28"/>
          <w:lang w:val="pt-BR"/>
        </w:rPr>
        <w:t>, góp vốn, mua cổ phần tham gia doanh nghiệp</w:t>
      </w:r>
      <w:r w:rsidRPr="0096488C">
        <w:rPr>
          <w:rFonts w:cs="Times New Roman"/>
          <w:szCs w:val="28"/>
          <w:lang w:val="pt-BR"/>
        </w:rPr>
        <w:t xml:space="preserve"> </w:t>
      </w:r>
      <w:r w:rsidR="001C2968" w:rsidRPr="0096488C">
        <w:rPr>
          <w:rFonts w:cs="Times New Roman"/>
          <w:szCs w:val="28"/>
          <w:lang w:val="pt-BR"/>
        </w:rPr>
        <w:t xml:space="preserve">của </w:t>
      </w:r>
      <w:r w:rsidR="00C54D58" w:rsidRPr="0096488C">
        <w:rPr>
          <w:rFonts w:cs="Times New Roman"/>
          <w:szCs w:val="28"/>
          <w:lang w:val="pt-BR"/>
        </w:rPr>
        <w:t>HTX</w:t>
      </w:r>
      <w:r w:rsidR="001C2968" w:rsidRPr="0096488C">
        <w:rPr>
          <w:rFonts w:cs="Times New Roman"/>
          <w:szCs w:val="28"/>
          <w:lang w:val="pt-BR"/>
        </w:rPr>
        <w:t xml:space="preserve">, liên hiệp </w:t>
      </w:r>
      <w:r w:rsidR="00C54D58" w:rsidRPr="0096488C">
        <w:rPr>
          <w:rFonts w:cs="Times New Roman"/>
          <w:szCs w:val="28"/>
          <w:lang w:val="pt-BR"/>
        </w:rPr>
        <w:t>HTX</w:t>
      </w:r>
      <w:r w:rsidR="001C2968" w:rsidRPr="0096488C">
        <w:rPr>
          <w:rFonts w:cs="Times New Roman"/>
          <w:szCs w:val="28"/>
          <w:lang w:val="pt-BR"/>
        </w:rPr>
        <w:t xml:space="preserve"> </w:t>
      </w:r>
      <w:r w:rsidRPr="0096488C">
        <w:rPr>
          <w:rFonts w:cs="Times New Roman"/>
          <w:szCs w:val="28"/>
        </w:rPr>
        <w:t xml:space="preserve">theo hướng </w:t>
      </w:r>
      <w:r w:rsidR="004F4BA7" w:rsidRPr="0096488C">
        <w:rPr>
          <w:rFonts w:cs="Times New Roman"/>
          <w:szCs w:val="28"/>
        </w:rPr>
        <w:t>t</w:t>
      </w:r>
      <w:r w:rsidR="004F4BA7" w:rsidRPr="0096488C">
        <w:rPr>
          <w:rFonts w:cs="Times New Roman"/>
          <w:kern w:val="2"/>
          <w:szCs w:val="28"/>
          <w:lang w:val="it-IT" w:eastAsia="ar-SA"/>
        </w:rPr>
        <w:t xml:space="preserve">ạo hành lang pháp lý thuận lợi cho việc </w:t>
      </w:r>
      <w:r w:rsidR="004F4BA7" w:rsidRPr="0096488C">
        <w:rPr>
          <w:rFonts w:cs="Times New Roman"/>
          <w:szCs w:val="28"/>
        </w:rPr>
        <w:t>thành lập doanh nghiệp, góp vốn, mua cổ phần tham gia doanh nghiệp</w:t>
      </w:r>
      <w:r w:rsidR="001C2968" w:rsidRPr="0096488C">
        <w:rPr>
          <w:rFonts w:cs="Times New Roman"/>
          <w:szCs w:val="28"/>
        </w:rPr>
        <w:t>;</w:t>
      </w:r>
      <w:r w:rsidR="004F4BA7" w:rsidRPr="0096488C">
        <w:rPr>
          <w:rFonts w:cs="Times New Roman"/>
          <w:szCs w:val="28"/>
        </w:rPr>
        <w:t xml:space="preserve"> quy định rõ, tạo sự minh bạch trong mối quan hệ giữa HTX, liên hiệp HTX với doanh nghiệp được thành lập, góp vốn, mua cổ phần, bảo đảm lợi ích của thành viên, của HTX, liên hiệp HTX và doanh nghiệp</w:t>
      </w:r>
      <w:r w:rsidR="006200BA" w:rsidRPr="0096488C">
        <w:rPr>
          <w:rFonts w:cs="Times New Roman"/>
          <w:szCs w:val="28"/>
        </w:rPr>
        <w:t>; đồng thời bảo đảm các nguyên tắc, bản chất của mô hình HTX</w:t>
      </w:r>
      <w:r w:rsidR="001C2968" w:rsidRPr="0096488C">
        <w:rPr>
          <w:rFonts w:cs="Times New Roman"/>
          <w:szCs w:val="28"/>
        </w:rPr>
        <w:t>.</w:t>
      </w:r>
      <w:r w:rsidR="00880146" w:rsidRPr="0096488C">
        <w:rPr>
          <w:rFonts w:cs="Times New Roman"/>
          <w:szCs w:val="28"/>
        </w:rPr>
        <w:t xml:space="preserve"> Theo đó,</w:t>
      </w:r>
      <w:r w:rsidR="006200BA" w:rsidRPr="0096488C">
        <w:rPr>
          <w:rFonts w:cs="Times New Roman"/>
          <w:szCs w:val="28"/>
        </w:rPr>
        <w:t xml:space="preserve"> </w:t>
      </w:r>
      <w:bookmarkStart w:id="6" w:name="_Hlk147153292"/>
      <w:r w:rsidR="001C2968" w:rsidRPr="0096488C">
        <w:rPr>
          <w:rFonts w:cs="Times New Roman"/>
          <w:szCs w:val="28"/>
        </w:rPr>
        <w:t xml:space="preserve">khi </w:t>
      </w:r>
      <w:r w:rsidR="00C54D58" w:rsidRPr="0096488C">
        <w:rPr>
          <w:rFonts w:cs="Times New Roman"/>
          <w:szCs w:val="28"/>
        </w:rPr>
        <w:t>HTX</w:t>
      </w:r>
      <w:r w:rsidR="001C2968" w:rsidRPr="0096488C">
        <w:rPr>
          <w:rFonts w:cs="Times New Roman"/>
          <w:szCs w:val="28"/>
        </w:rPr>
        <w:t xml:space="preserve">, liên hiệp </w:t>
      </w:r>
      <w:r w:rsidR="00C54D58" w:rsidRPr="0096488C">
        <w:rPr>
          <w:rFonts w:cs="Times New Roman"/>
          <w:szCs w:val="28"/>
        </w:rPr>
        <w:t>HTX</w:t>
      </w:r>
      <w:r w:rsidR="001C2968" w:rsidRPr="0096488C">
        <w:rPr>
          <w:rFonts w:cs="Times New Roman"/>
          <w:szCs w:val="28"/>
        </w:rPr>
        <w:t xml:space="preserve"> thành lập doanh nghiệp, góp vốn, mua cổ phần tham gia doanh nghiệp</w:t>
      </w:r>
      <w:r w:rsidR="009839AF" w:rsidRPr="0096488C">
        <w:rPr>
          <w:rFonts w:cs="Times New Roman"/>
          <w:szCs w:val="28"/>
        </w:rPr>
        <w:t xml:space="preserve"> </w:t>
      </w:r>
      <w:r w:rsidR="00880146" w:rsidRPr="0096488C">
        <w:rPr>
          <w:rFonts w:cs="Times New Roman"/>
          <w:szCs w:val="28"/>
        </w:rPr>
        <w:t xml:space="preserve">cần đáp ứng </w:t>
      </w:r>
      <w:r w:rsidR="00F17602" w:rsidRPr="0096488C">
        <w:rPr>
          <w:rFonts w:cs="Times New Roman"/>
          <w:szCs w:val="28"/>
        </w:rPr>
        <w:t xml:space="preserve">các </w:t>
      </w:r>
      <w:r w:rsidR="00880146" w:rsidRPr="0096488C">
        <w:rPr>
          <w:rFonts w:cs="Times New Roman"/>
          <w:szCs w:val="28"/>
        </w:rPr>
        <w:t>điều kiện</w:t>
      </w:r>
      <w:r w:rsidR="00F17602" w:rsidRPr="0096488C">
        <w:rPr>
          <w:rFonts w:cs="Times New Roman"/>
          <w:szCs w:val="28"/>
        </w:rPr>
        <w:t>:</w:t>
      </w:r>
      <w:r w:rsidR="00880146" w:rsidRPr="0096488C">
        <w:rPr>
          <w:rFonts w:cs="Times New Roman"/>
          <w:szCs w:val="28"/>
        </w:rPr>
        <w:t xml:space="preserve"> </w:t>
      </w:r>
      <w:r w:rsidR="001C2968" w:rsidRPr="0096488C">
        <w:rPr>
          <w:rFonts w:cs="Times New Roman"/>
          <w:szCs w:val="28"/>
        </w:rPr>
        <w:t>ngành nghề sản xuất kinh doanh của doanh nghiệp được thành lập, góp vốn</w:t>
      </w:r>
      <w:r w:rsidR="00F17602" w:rsidRPr="0096488C">
        <w:rPr>
          <w:rFonts w:cs="Times New Roman"/>
          <w:szCs w:val="28"/>
        </w:rPr>
        <w:t>,</w:t>
      </w:r>
      <w:r w:rsidR="001C2968" w:rsidRPr="0096488C">
        <w:rPr>
          <w:rFonts w:cs="Times New Roman"/>
          <w:szCs w:val="28"/>
        </w:rPr>
        <w:t xml:space="preserve"> mua cổ phần</w:t>
      </w:r>
      <w:r w:rsidR="00F17602" w:rsidRPr="0096488C">
        <w:rPr>
          <w:rFonts w:cs="Times New Roman"/>
          <w:szCs w:val="28"/>
        </w:rPr>
        <w:t xml:space="preserve"> có liên quan đến ngành nghề sản xuất, kinh doanh của HTX, liên hiệp HTX</w:t>
      </w:r>
      <w:r w:rsidR="009839AF" w:rsidRPr="0096488C">
        <w:rPr>
          <w:rFonts w:cs="Times New Roman"/>
          <w:szCs w:val="28"/>
        </w:rPr>
        <w:t xml:space="preserve">; </w:t>
      </w:r>
      <w:r w:rsidR="00F17602" w:rsidRPr="0096488C">
        <w:rPr>
          <w:rFonts w:cs="Times New Roman"/>
          <w:szCs w:val="28"/>
        </w:rPr>
        <w:t xml:space="preserve">có </w:t>
      </w:r>
      <w:r w:rsidR="009839AF" w:rsidRPr="0096488C">
        <w:rPr>
          <w:rFonts w:cs="Times New Roman"/>
          <w:szCs w:val="28"/>
        </w:rPr>
        <w:t>quy chế quản lý nguồn vốn thành lập doanh nghiệp, góp vốn, mua cổ phần</w:t>
      </w:r>
      <w:r w:rsidR="000C5395" w:rsidRPr="0096488C">
        <w:rPr>
          <w:rFonts w:cs="Times New Roman"/>
          <w:szCs w:val="28"/>
        </w:rPr>
        <w:t>; có</w:t>
      </w:r>
      <w:r w:rsidR="009839AF" w:rsidRPr="0096488C">
        <w:rPr>
          <w:rFonts w:cs="Times New Roman"/>
          <w:szCs w:val="28"/>
        </w:rPr>
        <w:t xml:space="preserve"> quy chế quản lý, sử dụng nguồn thu nhập thu được từ doanh nghiệp được thành lập, góp vốn, mua cổ phần.</w:t>
      </w:r>
    </w:p>
    <w:bookmarkEnd w:id="6"/>
    <w:p w14:paraId="53D7C1C2" w14:textId="69EE36FE" w:rsidR="002A65E6" w:rsidRPr="0096488C" w:rsidRDefault="007E215F" w:rsidP="0096488C">
      <w:pPr>
        <w:pStyle w:val="Heading5"/>
        <w:spacing w:before="60" w:after="60" w:line="264" w:lineRule="auto"/>
      </w:pPr>
      <w:r w:rsidRPr="0096488C">
        <w:t>2.4</w:t>
      </w:r>
      <w:r w:rsidR="002A65E6" w:rsidRPr="0096488C">
        <w:t xml:space="preserve">.2. </w:t>
      </w:r>
      <w:r w:rsidR="006A28EA" w:rsidRPr="0096488C">
        <w:t>Về điều kiện hoạt động cho vay nội bộ trong HTX, liên hiệp HTX (Điều 19 dự thảo Nghị định)</w:t>
      </w:r>
    </w:p>
    <w:p w14:paraId="39819DE1" w14:textId="5123AEF8" w:rsidR="00801D9A" w:rsidRPr="0096488C" w:rsidRDefault="00801D9A" w:rsidP="0096488C">
      <w:pPr>
        <w:spacing w:before="60" w:after="60" w:line="264" w:lineRule="auto"/>
        <w:ind w:firstLine="720"/>
        <w:jc w:val="both"/>
        <w:rPr>
          <w:rFonts w:cs="Times New Roman"/>
          <w:szCs w:val="28"/>
          <w:u w:val="single"/>
          <w:lang w:val="it-IT"/>
        </w:rPr>
      </w:pPr>
      <w:r w:rsidRPr="0096488C">
        <w:rPr>
          <w:rFonts w:cs="Times New Roman"/>
          <w:szCs w:val="28"/>
          <w:lang w:val="it-IT"/>
        </w:rPr>
        <w:t>Để phù hợp với quy định tại Luật HTX năm 2023</w:t>
      </w:r>
      <w:r w:rsidR="00263700" w:rsidRPr="0096488C">
        <w:rPr>
          <w:rFonts w:cs="Times New Roman"/>
          <w:szCs w:val="28"/>
          <w:lang w:val="it-IT"/>
        </w:rPr>
        <w:t xml:space="preserve"> và thực tiễn hoạt động của HTX, liên hiệp HTX thời gian qua</w:t>
      </w:r>
      <w:r w:rsidRPr="0096488C">
        <w:rPr>
          <w:rFonts w:cs="Times New Roman"/>
          <w:szCs w:val="28"/>
          <w:lang w:val="it-IT"/>
        </w:rPr>
        <w:t xml:space="preserve">, đề xuất sửa đổi, bổ sung quy định về hoạt động cho vay nội bộ tại Điều </w:t>
      </w:r>
      <w:r w:rsidR="006A28EA" w:rsidRPr="0096488C">
        <w:rPr>
          <w:rFonts w:cs="Times New Roman"/>
          <w:szCs w:val="28"/>
          <w:lang w:val="it-IT"/>
        </w:rPr>
        <w:t>19</w:t>
      </w:r>
      <w:r w:rsidRPr="0096488C">
        <w:rPr>
          <w:rFonts w:cs="Times New Roman"/>
          <w:szCs w:val="28"/>
          <w:lang w:val="it-IT"/>
        </w:rPr>
        <w:t xml:space="preserve"> dự thảo Nghị định như sau:</w:t>
      </w:r>
    </w:p>
    <w:p w14:paraId="3C92A332" w14:textId="55CAC325" w:rsidR="00801D9A" w:rsidRPr="0096488C" w:rsidRDefault="00801D9A" w:rsidP="0096488C">
      <w:pPr>
        <w:spacing w:before="60" w:after="60" w:line="264" w:lineRule="auto"/>
        <w:ind w:firstLine="720"/>
        <w:jc w:val="both"/>
        <w:rPr>
          <w:rFonts w:cs="Times New Roman"/>
          <w:szCs w:val="28"/>
        </w:rPr>
      </w:pPr>
      <w:r w:rsidRPr="0096488C">
        <w:rPr>
          <w:rFonts w:cs="Times New Roman"/>
          <w:spacing w:val="-2"/>
          <w:szCs w:val="28"/>
          <w:lang w:val="pt-BR"/>
        </w:rPr>
        <w:t xml:space="preserve">- </w:t>
      </w:r>
      <w:r w:rsidR="00BA6474" w:rsidRPr="0096488C">
        <w:rPr>
          <w:rFonts w:cs="Times New Roman"/>
          <w:spacing w:val="-2"/>
          <w:szCs w:val="28"/>
          <w:lang w:val="pt-BR"/>
        </w:rPr>
        <w:t>Ngoài việc đáp ứng đ</w:t>
      </w:r>
      <w:r w:rsidRPr="0096488C">
        <w:rPr>
          <w:rFonts w:cs="Times New Roman"/>
          <w:spacing w:val="-2"/>
          <w:szCs w:val="28"/>
          <w:lang w:val="pt-BR"/>
        </w:rPr>
        <w:t>iều kiện phải tổ chức quản trị đầy đủ</w:t>
      </w:r>
      <w:r w:rsidR="00D202F5" w:rsidRPr="0096488C">
        <w:rPr>
          <w:rFonts w:cs="Times New Roman"/>
          <w:spacing w:val="-2"/>
          <w:szCs w:val="28"/>
          <w:lang w:val="pt-BR"/>
        </w:rPr>
        <w:t xml:space="preserve">, </w:t>
      </w:r>
      <w:r w:rsidRPr="0096488C">
        <w:rPr>
          <w:rFonts w:cs="Times New Roman"/>
          <w:szCs w:val="28"/>
        </w:rPr>
        <w:t>Ban kiểm soát tối thiểu từ 03 thành viên trở lên</w:t>
      </w:r>
      <w:r w:rsidR="00BA6474" w:rsidRPr="0096488C">
        <w:rPr>
          <w:rFonts w:cs="Times New Roman"/>
          <w:szCs w:val="28"/>
        </w:rPr>
        <w:t xml:space="preserve"> theo quy định tại </w:t>
      </w:r>
      <w:r w:rsidR="00F70765" w:rsidRPr="0096488C">
        <w:rPr>
          <w:rFonts w:cs="Times New Roman"/>
          <w:szCs w:val="28"/>
        </w:rPr>
        <w:t>điểm a, c khoản 2 Điều 83 Luật HTX</w:t>
      </w:r>
      <w:r w:rsidR="00124C64" w:rsidRPr="0096488C">
        <w:rPr>
          <w:rFonts w:cs="Times New Roman"/>
          <w:szCs w:val="28"/>
        </w:rPr>
        <w:t xml:space="preserve">, </w:t>
      </w:r>
      <w:r w:rsidR="00AC143C" w:rsidRPr="0096488C">
        <w:rPr>
          <w:rFonts w:cs="Times New Roman"/>
          <w:szCs w:val="28"/>
        </w:rPr>
        <w:t xml:space="preserve">thì </w:t>
      </w:r>
      <w:r w:rsidR="00124C64" w:rsidRPr="0096488C">
        <w:rPr>
          <w:rFonts w:cs="Times New Roman"/>
          <w:szCs w:val="28"/>
        </w:rPr>
        <w:t>HTX, liên hiệp HTX phải đáp ứng điều kiện</w:t>
      </w:r>
      <w:r w:rsidRPr="0096488C">
        <w:rPr>
          <w:rFonts w:cs="Times New Roman"/>
          <w:szCs w:val="28"/>
        </w:rPr>
        <w:t xml:space="preserve"> </w:t>
      </w:r>
      <w:r w:rsidR="0043103C" w:rsidRPr="0096488C">
        <w:rPr>
          <w:rFonts w:cs="Times New Roman"/>
          <w:szCs w:val="28"/>
        </w:rPr>
        <w:t>được đại hội thành viên thông qua, trong đó bao gồm các nội dung chính</w:t>
      </w:r>
      <w:r w:rsidR="00381C5A" w:rsidRPr="0096488C">
        <w:rPr>
          <w:rFonts w:cs="Times New Roman"/>
          <w:szCs w:val="28"/>
        </w:rPr>
        <w:t>:</w:t>
      </w:r>
      <w:r w:rsidR="0043103C" w:rsidRPr="0096488C">
        <w:rPr>
          <w:rFonts w:cs="Times New Roman"/>
          <w:szCs w:val="28"/>
        </w:rPr>
        <w:t xml:space="preserve"> quản lý, kiểm tra việc cho vay nội bộ; biện pháp xử lý rủi ro khi xảy ra thiệt hại trong các trường hợp do nguyên </w:t>
      </w:r>
      <w:r w:rsidR="0043103C" w:rsidRPr="0096488C">
        <w:rPr>
          <w:rFonts w:cs="Times New Roman"/>
          <w:szCs w:val="28"/>
        </w:rPr>
        <w:lastRenderedPageBreak/>
        <w:t xml:space="preserve">nhân khách quan; </w:t>
      </w:r>
      <w:r w:rsidRPr="0096488C">
        <w:rPr>
          <w:rFonts w:cs="Times New Roman"/>
          <w:szCs w:val="28"/>
        </w:rPr>
        <w:t xml:space="preserve">nguồn vốn </w:t>
      </w:r>
      <w:r w:rsidR="00124C64" w:rsidRPr="0096488C">
        <w:rPr>
          <w:rFonts w:cs="Times New Roman"/>
          <w:szCs w:val="28"/>
        </w:rPr>
        <w:t xml:space="preserve">cho hoạt động cho vay nội bộ là </w:t>
      </w:r>
      <w:r w:rsidRPr="0096488C">
        <w:rPr>
          <w:rFonts w:cs="Times New Roman"/>
          <w:szCs w:val="28"/>
        </w:rPr>
        <w:t>từ lợi nhuận sản xuất kinh doanh</w:t>
      </w:r>
      <w:r w:rsidR="00381C5A" w:rsidRPr="0096488C">
        <w:rPr>
          <w:rFonts w:cs="Times New Roman"/>
          <w:szCs w:val="28"/>
        </w:rPr>
        <w:t>, các nguồn vốn chủ sở hữu khác</w:t>
      </w:r>
      <w:r w:rsidRPr="0096488C">
        <w:rPr>
          <w:rFonts w:cs="Times New Roman"/>
          <w:szCs w:val="28"/>
        </w:rPr>
        <w:t xml:space="preserve"> và tối đa 50% vốn </w:t>
      </w:r>
      <w:r w:rsidR="00124C64" w:rsidRPr="0096488C">
        <w:rPr>
          <w:rFonts w:cs="Times New Roman"/>
          <w:szCs w:val="28"/>
        </w:rPr>
        <w:t>chủ sở hữu của HTX, liên hiệp HTX</w:t>
      </w:r>
      <w:r w:rsidR="009839AF" w:rsidRPr="0096488C">
        <w:rPr>
          <w:rFonts w:cs="Times New Roman"/>
          <w:szCs w:val="28"/>
        </w:rPr>
        <w:t>.</w:t>
      </w:r>
    </w:p>
    <w:p w14:paraId="18291F5D" w14:textId="36264EFC" w:rsidR="002A65E6" w:rsidRPr="0096488C" w:rsidRDefault="00801D9A" w:rsidP="0096488C">
      <w:pPr>
        <w:spacing w:before="60" w:after="60" w:line="264" w:lineRule="auto"/>
        <w:ind w:firstLine="720"/>
        <w:jc w:val="both"/>
        <w:rPr>
          <w:rFonts w:cs="Times New Roman"/>
          <w:szCs w:val="28"/>
        </w:rPr>
      </w:pPr>
      <w:r w:rsidRPr="0096488C">
        <w:rPr>
          <w:rFonts w:cs="Times New Roman"/>
          <w:spacing w:val="-2"/>
          <w:szCs w:val="28"/>
        </w:rPr>
        <w:t xml:space="preserve">- </w:t>
      </w:r>
      <w:r w:rsidR="00381C5A" w:rsidRPr="0096488C">
        <w:rPr>
          <w:rFonts w:cs="Times New Roman"/>
          <w:spacing w:val="-2"/>
          <w:szCs w:val="28"/>
        </w:rPr>
        <w:t>Quy định rõ c</w:t>
      </w:r>
      <w:r w:rsidRPr="0096488C">
        <w:rPr>
          <w:rFonts w:cs="Times New Roman"/>
          <w:spacing w:val="-2"/>
          <w:szCs w:val="28"/>
        </w:rPr>
        <w:t xml:space="preserve">ác nội dung về mức cho vay tối đa đối với </w:t>
      </w:r>
      <w:r w:rsidR="00AC143C" w:rsidRPr="0096488C">
        <w:rPr>
          <w:rFonts w:cs="Times New Roman"/>
          <w:spacing w:val="-2"/>
          <w:szCs w:val="28"/>
        </w:rPr>
        <w:t xml:space="preserve">mỗi </w:t>
      </w:r>
      <w:r w:rsidRPr="0096488C">
        <w:rPr>
          <w:rFonts w:cs="Times New Roman"/>
          <w:spacing w:val="-2"/>
          <w:szCs w:val="28"/>
        </w:rPr>
        <w:t xml:space="preserve">thành viên bằng 5% số vốn </w:t>
      </w:r>
      <w:r w:rsidR="0043103C" w:rsidRPr="0096488C">
        <w:rPr>
          <w:rFonts w:cs="Times New Roman"/>
          <w:szCs w:val="28"/>
        </w:rPr>
        <w:t>chủ sở hữu</w:t>
      </w:r>
      <w:r w:rsidRPr="0096488C">
        <w:rPr>
          <w:rFonts w:cs="Times New Roman"/>
          <w:spacing w:val="-2"/>
          <w:szCs w:val="28"/>
        </w:rPr>
        <w:t xml:space="preserve">; </w:t>
      </w:r>
      <w:r w:rsidR="00170534" w:rsidRPr="0096488C">
        <w:rPr>
          <w:rFonts w:cs="Times New Roman"/>
          <w:spacing w:val="-2"/>
          <w:szCs w:val="28"/>
        </w:rPr>
        <w:t xml:space="preserve">thời hạn cho vay </w:t>
      </w:r>
      <w:r w:rsidR="00D03915" w:rsidRPr="0096488C">
        <w:rPr>
          <w:rFonts w:cs="Times New Roman"/>
          <w:spacing w:val="-2"/>
          <w:szCs w:val="28"/>
        </w:rPr>
        <w:t>không quá 12 tháng</w:t>
      </w:r>
      <w:r w:rsidR="00170534" w:rsidRPr="0096488C">
        <w:rPr>
          <w:rFonts w:cs="Times New Roman"/>
          <w:spacing w:val="-2"/>
          <w:szCs w:val="28"/>
        </w:rPr>
        <w:t xml:space="preserve">; </w:t>
      </w:r>
      <w:r w:rsidRPr="0096488C">
        <w:rPr>
          <w:rFonts w:cs="Times New Roman"/>
          <w:spacing w:val="-2"/>
          <w:szCs w:val="28"/>
        </w:rPr>
        <w:t>lãi suất cho vay tối đa</w:t>
      </w:r>
      <w:r w:rsidR="00C9212F" w:rsidRPr="0096488C">
        <w:rPr>
          <w:rFonts w:cs="Times New Roman"/>
          <w:spacing w:val="-2"/>
          <w:szCs w:val="28"/>
        </w:rPr>
        <w:t xml:space="preserve"> theo quy định của pháp luật dân sự</w:t>
      </w:r>
      <w:r w:rsidRPr="0096488C">
        <w:rPr>
          <w:rFonts w:cs="Times New Roman"/>
          <w:spacing w:val="-2"/>
          <w:szCs w:val="28"/>
        </w:rPr>
        <w:t>;</w:t>
      </w:r>
      <w:r w:rsidR="00170534" w:rsidRPr="0096488C">
        <w:rPr>
          <w:rFonts w:cs="Times New Roman"/>
          <w:spacing w:val="-2"/>
          <w:szCs w:val="28"/>
        </w:rPr>
        <w:t xml:space="preserve"> kỳ hạn trả nợ gốc</w:t>
      </w:r>
      <w:r w:rsidR="00C9212F" w:rsidRPr="0096488C">
        <w:rPr>
          <w:rFonts w:cs="Times New Roman"/>
          <w:spacing w:val="-2"/>
          <w:szCs w:val="28"/>
        </w:rPr>
        <w:t>,</w:t>
      </w:r>
      <w:r w:rsidR="00170534" w:rsidRPr="0096488C">
        <w:rPr>
          <w:rFonts w:cs="Times New Roman"/>
          <w:spacing w:val="-2"/>
          <w:szCs w:val="28"/>
        </w:rPr>
        <w:t xml:space="preserve"> lãi tiền v</w:t>
      </w:r>
      <w:r w:rsidR="001D0BB8" w:rsidRPr="0096488C">
        <w:rPr>
          <w:rFonts w:cs="Times New Roman"/>
          <w:spacing w:val="-2"/>
          <w:szCs w:val="28"/>
        </w:rPr>
        <w:t>ay</w:t>
      </w:r>
      <w:r w:rsidR="00C9212F" w:rsidRPr="0096488C">
        <w:rPr>
          <w:rFonts w:cs="Times New Roman"/>
          <w:spacing w:val="-2"/>
          <w:szCs w:val="28"/>
        </w:rPr>
        <w:t xml:space="preserve"> do HĐQT quyết định</w:t>
      </w:r>
      <w:r w:rsidR="001D0BB8" w:rsidRPr="0096488C">
        <w:rPr>
          <w:rFonts w:cs="Times New Roman"/>
          <w:spacing w:val="-2"/>
          <w:szCs w:val="28"/>
        </w:rPr>
        <w:t>; việc vay vốn có bảo đảm tài sản hoặc không phải bảo đảm bằng tài sản</w:t>
      </w:r>
      <w:r w:rsidR="00D03915" w:rsidRPr="0096488C">
        <w:rPr>
          <w:rFonts w:cs="Times New Roman"/>
          <w:spacing w:val="-2"/>
          <w:szCs w:val="28"/>
        </w:rPr>
        <w:t xml:space="preserve"> và biện pháp xử lý tài sản bảo đảm (nếu có) để thu hồi nợ</w:t>
      </w:r>
      <w:r w:rsidR="00C9212F" w:rsidRPr="0096488C">
        <w:rPr>
          <w:rFonts w:cs="Times New Roman"/>
          <w:spacing w:val="-2"/>
          <w:szCs w:val="28"/>
        </w:rPr>
        <w:t>,</w:t>
      </w:r>
      <w:r w:rsidRPr="0096488C">
        <w:rPr>
          <w:rFonts w:cs="Times New Roman"/>
          <w:spacing w:val="-2"/>
          <w:szCs w:val="28"/>
        </w:rPr>
        <w:t xml:space="preserve"> xử lý các khoản vay quá hạn, không trả được nợ</w:t>
      </w:r>
      <w:r w:rsidR="00C9212F" w:rsidRPr="0096488C">
        <w:rPr>
          <w:rFonts w:cs="Times New Roman"/>
          <w:spacing w:val="-2"/>
          <w:szCs w:val="28"/>
        </w:rPr>
        <w:t xml:space="preserve"> do ĐHTV quyết định</w:t>
      </w:r>
      <w:r w:rsidRPr="0096488C">
        <w:rPr>
          <w:rFonts w:cs="Times New Roman"/>
          <w:szCs w:val="28"/>
        </w:rPr>
        <w:t>.</w:t>
      </w:r>
    </w:p>
    <w:p w14:paraId="607B0379" w14:textId="79D8D208" w:rsidR="00950490" w:rsidRPr="0096488C" w:rsidRDefault="007E215F" w:rsidP="0096488C">
      <w:pPr>
        <w:pStyle w:val="Heading5"/>
        <w:spacing w:before="60" w:after="60" w:line="264" w:lineRule="auto"/>
      </w:pPr>
      <w:r w:rsidRPr="0096488C">
        <w:t>2.4</w:t>
      </w:r>
      <w:r w:rsidR="00950490" w:rsidRPr="0096488C">
        <w:t xml:space="preserve">.3. </w:t>
      </w:r>
      <w:r w:rsidR="003924E6" w:rsidRPr="0096488C">
        <w:t>Về giao dịch nội bộ và thu nhập từ giao dịch nội bộ của HTX, liên hiệp HTX (Điều 20 dự thảo Nghị định)</w:t>
      </w:r>
    </w:p>
    <w:p w14:paraId="6A4111E5" w14:textId="05411A69" w:rsidR="00950490" w:rsidRPr="0096488C" w:rsidRDefault="00AC617F" w:rsidP="0096488C">
      <w:pPr>
        <w:spacing w:before="60" w:after="60" w:line="264" w:lineRule="auto"/>
        <w:ind w:firstLine="720"/>
        <w:jc w:val="both"/>
        <w:rPr>
          <w:rFonts w:cs="Times New Roman"/>
          <w:szCs w:val="28"/>
        </w:rPr>
      </w:pPr>
      <w:r w:rsidRPr="0096488C">
        <w:rPr>
          <w:rFonts w:cs="Times New Roman"/>
          <w:kern w:val="2"/>
          <w:szCs w:val="28"/>
          <w:lang w:val="it-IT" w:eastAsia="ar-SA"/>
        </w:rPr>
        <w:t xml:space="preserve">Nhằm tạo khung pháp lý đầy đủ, rõ ràng cho các vấn đề về </w:t>
      </w:r>
      <w:r w:rsidRPr="0096488C">
        <w:rPr>
          <w:rFonts w:cs="Times New Roman"/>
          <w:kern w:val="28"/>
          <w:szCs w:val="28"/>
          <w:lang w:val="pt-BR"/>
        </w:rPr>
        <w:t>giao dịch nội bộ và thu nhập từ giao dịch nội bộ</w:t>
      </w:r>
      <w:r w:rsidRPr="0096488C">
        <w:rPr>
          <w:rFonts w:cs="Times New Roman"/>
          <w:kern w:val="2"/>
          <w:szCs w:val="28"/>
          <w:lang w:val="it-IT" w:eastAsia="ar-SA"/>
        </w:rPr>
        <w:t xml:space="preserve"> của HTX, liên hiệp HTX, làm căn cứ cho việc theo dõi, hạch toán</w:t>
      </w:r>
      <w:r w:rsidR="00F804A9" w:rsidRPr="0096488C">
        <w:rPr>
          <w:rFonts w:cs="Times New Roman"/>
          <w:kern w:val="2"/>
          <w:szCs w:val="28"/>
          <w:lang w:val="it-IT" w:eastAsia="ar-SA"/>
        </w:rPr>
        <w:t>,</w:t>
      </w:r>
      <w:r w:rsidRPr="0096488C">
        <w:rPr>
          <w:rFonts w:cs="Times New Roman"/>
          <w:kern w:val="2"/>
          <w:szCs w:val="28"/>
          <w:lang w:val="it-IT" w:eastAsia="ar-SA"/>
        </w:rPr>
        <w:t xml:space="preserve"> kế toán và thực hiện các chính sách ưu đãi của Nhà nước đối với giao dịch nội bộ của HTX, liên hiệp HTX, q</w:t>
      </w:r>
      <w:r w:rsidR="00950490" w:rsidRPr="0096488C">
        <w:rPr>
          <w:rFonts w:cs="Times New Roman"/>
          <w:szCs w:val="28"/>
          <w:lang w:val="pt-BR"/>
        </w:rPr>
        <w:t>uy định chi tiết Điều 85 Luật HTX về xác định hoạt động giao dịch nội bộ</w:t>
      </w:r>
      <w:r w:rsidR="008034E5" w:rsidRPr="0096488C">
        <w:rPr>
          <w:rFonts w:cs="Times New Roman"/>
          <w:szCs w:val="28"/>
          <w:lang w:val="pt-BR"/>
        </w:rPr>
        <w:t xml:space="preserve">, cách tính thu nhập từ giao dịch nội bộ </w:t>
      </w:r>
      <w:r w:rsidR="00950490" w:rsidRPr="0096488C">
        <w:rPr>
          <w:rFonts w:cs="Times New Roman"/>
          <w:szCs w:val="28"/>
          <w:lang w:val="pt-BR"/>
        </w:rPr>
        <w:t>trong từng hoạt động</w:t>
      </w:r>
      <w:r w:rsidRPr="0096488C">
        <w:rPr>
          <w:rFonts w:cs="Times New Roman"/>
          <w:szCs w:val="28"/>
          <w:lang w:val="pt-BR"/>
        </w:rPr>
        <w:t>,</w:t>
      </w:r>
      <w:r w:rsidR="008034E5" w:rsidRPr="0096488C">
        <w:rPr>
          <w:rFonts w:cs="Times New Roman"/>
          <w:szCs w:val="28"/>
          <w:lang w:val="pt-BR"/>
        </w:rPr>
        <w:t xml:space="preserve"> cụ thể</w:t>
      </w:r>
      <w:r w:rsidR="00950490" w:rsidRPr="0096488C">
        <w:rPr>
          <w:rFonts w:cs="Times New Roman"/>
          <w:i/>
          <w:szCs w:val="28"/>
          <w:lang w:val="pt-BR"/>
        </w:rPr>
        <w:t xml:space="preserve">: </w:t>
      </w:r>
    </w:p>
    <w:p w14:paraId="423D9A0F" w14:textId="2C1DE0B5" w:rsidR="00AC617F" w:rsidRPr="0096488C" w:rsidRDefault="00AC617F" w:rsidP="0096488C">
      <w:pPr>
        <w:spacing w:before="60" w:after="60" w:line="264" w:lineRule="auto"/>
        <w:ind w:firstLine="720"/>
        <w:jc w:val="both"/>
        <w:rPr>
          <w:rFonts w:cs="Times New Roman"/>
          <w:spacing w:val="-2"/>
          <w:szCs w:val="28"/>
          <w:lang w:val="de-DE"/>
        </w:rPr>
      </w:pPr>
      <w:r w:rsidRPr="0096488C">
        <w:rPr>
          <w:rFonts w:cs="Times New Roman"/>
          <w:spacing w:val="-2"/>
          <w:szCs w:val="28"/>
          <w:lang w:val="pt-BR"/>
        </w:rPr>
        <w:t xml:space="preserve">- Làm rõ giao dịch nội bộ </w:t>
      </w:r>
      <w:r w:rsidRPr="0096488C">
        <w:rPr>
          <w:rFonts w:cs="Times New Roman"/>
          <w:spacing w:val="-2"/>
          <w:szCs w:val="28"/>
          <w:lang w:val="de-DE"/>
        </w:rPr>
        <w:t>trong hoạt động cung ứng sản phẩm, vật tư đầu vào phục vụ sản xuất</w:t>
      </w:r>
      <w:r w:rsidR="00A5341D" w:rsidRPr="0096488C">
        <w:rPr>
          <w:rFonts w:cs="Times New Roman"/>
          <w:spacing w:val="-2"/>
          <w:szCs w:val="28"/>
          <w:lang w:val="de-DE"/>
        </w:rPr>
        <w:t xml:space="preserve">, đời sống của thành viên </w:t>
      </w:r>
      <w:r w:rsidR="00A5341D" w:rsidRPr="0096488C">
        <w:rPr>
          <w:rFonts w:cs="Times New Roman"/>
          <w:szCs w:val="28"/>
          <w:lang w:val="de-DE"/>
        </w:rPr>
        <w:t>chính thức</w:t>
      </w:r>
      <w:r w:rsidRPr="0096488C">
        <w:rPr>
          <w:rFonts w:cs="Times New Roman"/>
          <w:spacing w:val="-2"/>
          <w:szCs w:val="28"/>
          <w:lang w:val="de-DE"/>
        </w:rPr>
        <w:t xml:space="preserve"> là giao dịch HTX, liên hiệp HTX tự tổ chức sản xuất hoặc mua từ thị trường bên ngoài cung ứng cho thành viên chính thức</w:t>
      </w:r>
      <w:r w:rsidR="00A5341D" w:rsidRPr="0096488C">
        <w:rPr>
          <w:rFonts w:cs="Times New Roman"/>
          <w:spacing w:val="-2"/>
          <w:szCs w:val="28"/>
          <w:lang w:val="de-DE"/>
        </w:rPr>
        <w:t>;</w:t>
      </w:r>
    </w:p>
    <w:p w14:paraId="504C0059" w14:textId="69595BEB" w:rsidR="00AC617F" w:rsidRPr="0096488C" w:rsidRDefault="00AC617F" w:rsidP="0096488C">
      <w:pPr>
        <w:spacing w:before="60" w:after="60" w:line="264" w:lineRule="auto"/>
        <w:ind w:firstLine="720"/>
        <w:jc w:val="both"/>
        <w:rPr>
          <w:rFonts w:cs="Times New Roman"/>
          <w:szCs w:val="28"/>
          <w:lang w:val="de-DE"/>
        </w:rPr>
      </w:pPr>
      <w:r w:rsidRPr="0096488C">
        <w:rPr>
          <w:rFonts w:cs="Times New Roman"/>
          <w:szCs w:val="28"/>
          <w:lang w:val="de-DE"/>
        </w:rPr>
        <w:t xml:space="preserve">- </w:t>
      </w:r>
      <w:r w:rsidRPr="0096488C">
        <w:rPr>
          <w:rFonts w:cs="Times New Roman"/>
          <w:spacing w:val="-2"/>
          <w:szCs w:val="28"/>
          <w:lang w:val="pt-BR"/>
        </w:rPr>
        <w:t>Làm rõ giao</w:t>
      </w:r>
      <w:r w:rsidRPr="0096488C">
        <w:rPr>
          <w:rFonts w:cs="Times New Roman"/>
          <w:szCs w:val="28"/>
          <w:lang w:val="de-DE"/>
        </w:rPr>
        <w:t xml:space="preserve"> dịch nội bộ trong hoạt động cung ứng các dịch vụ phục vụ sản xuất</w:t>
      </w:r>
      <w:r w:rsidR="00A5341D" w:rsidRPr="0096488C">
        <w:rPr>
          <w:rFonts w:cs="Times New Roman"/>
          <w:szCs w:val="28"/>
          <w:lang w:val="de-DE"/>
        </w:rPr>
        <w:t>, đời sống của thành viên chính thức</w:t>
      </w:r>
      <w:r w:rsidRPr="0096488C">
        <w:rPr>
          <w:rFonts w:cs="Times New Roman"/>
          <w:szCs w:val="28"/>
          <w:lang w:val="de-DE"/>
        </w:rPr>
        <w:t xml:space="preserve"> là giao dịch HTX, liên hiệp HTX trực tiếp tổ chức hoặc thuê từ thị trường bên ngoài các hoạt động dịch vụ </w:t>
      </w:r>
      <w:r w:rsidR="00A5341D" w:rsidRPr="0096488C">
        <w:rPr>
          <w:rFonts w:cs="Times New Roman"/>
          <w:szCs w:val="28"/>
          <w:lang w:val="de-DE"/>
        </w:rPr>
        <w:t>cung ứng cho thành viên chính thức;</w:t>
      </w:r>
    </w:p>
    <w:p w14:paraId="2C4D2F2C" w14:textId="3642744C" w:rsidR="00AC617F" w:rsidRPr="0096488C" w:rsidRDefault="00AC617F" w:rsidP="0096488C">
      <w:pPr>
        <w:spacing w:before="60" w:after="60" w:line="264" w:lineRule="auto"/>
        <w:ind w:firstLine="720"/>
        <w:jc w:val="both"/>
        <w:rPr>
          <w:rFonts w:cs="Times New Roman"/>
          <w:szCs w:val="28"/>
          <w:lang w:val="de-DE"/>
        </w:rPr>
      </w:pPr>
      <w:r w:rsidRPr="0096488C">
        <w:rPr>
          <w:rFonts w:cs="Times New Roman"/>
          <w:szCs w:val="28"/>
          <w:lang w:val="de-DE"/>
        </w:rPr>
        <w:t xml:space="preserve">- Làm rõ giao dịch nội bộ trong hoạt động tiêu thụ sản phẩm </w:t>
      </w:r>
      <w:r w:rsidR="00A5341D" w:rsidRPr="0096488C">
        <w:rPr>
          <w:rFonts w:cs="Times New Roman"/>
          <w:szCs w:val="28"/>
          <w:lang w:val="de-DE"/>
        </w:rPr>
        <w:t>cho thành viên chính thức</w:t>
      </w:r>
      <w:r w:rsidRPr="0096488C">
        <w:rPr>
          <w:rFonts w:cs="Times New Roman"/>
          <w:szCs w:val="28"/>
          <w:lang w:val="de-DE"/>
        </w:rPr>
        <w:t xml:space="preserve"> là giao dịch HTX, liên hiệp HTX trực tiếp mua sản phẩm của thành viên chính thức sản xuất ra để tiêu thụ ngay hoặc bảo quản, sơ chế, chế biến rồi tiêu thụ trên thị trường</w:t>
      </w:r>
      <w:r w:rsidR="00A5341D" w:rsidRPr="0096488C">
        <w:rPr>
          <w:rFonts w:cs="Times New Roman"/>
          <w:szCs w:val="28"/>
          <w:lang w:val="de-DE"/>
        </w:rPr>
        <w:t>;</w:t>
      </w:r>
    </w:p>
    <w:p w14:paraId="3775AB1F" w14:textId="18B1D87F" w:rsidR="00835955" w:rsidRPr="0096488C" w:rsidRDefault="00835955" w:rsidP="0096488C">
      <w:pPr>
        <w:spacing w:before="60" w:after="60" w:line="264" w:lineRule="auto"/>
        <w:ind w:firstLine="720"/>
        <w:jc w:val="both"/>
        <w:rPr>
          <w:rFonts w:cs="Times New Roman"/>
          <w:szCs w:val="28"/>
          <w:lang w:val="de-DE"/>
        </w:rPr>
      </w:pPr>
      <w:bookmarkStart w:id="7" w:name="_Hlk147664973"/>
      <w:r w:rsidRPr="0096488C">
        <w:rPr>
          <w:rFonts w:cs="Times New Roman"/>
          <w:szCs w:val="28"/>
          <w:lang w:val="de-DE"/>
        </w:rPr>
        <w:t>- Làm rõ giao dịch nội bộ trong hoạt đ</w:t>
      </w:r>
      <w:r w:rsidR="001755C0" w:rsidRPr="0096488C">
        <w:rPr>
          <w:rFonts w:cs="Times New Roman"/>
          <w:szCs w:val="28"/>
          <w:lang w:val="de-DE"/>
        </w:rPr>
        <w:t>ộ</w:t>
      </w:r>
      <w:r w:rsidRPr="0096488C">
        <w:rPr>
          <w:rFonts w:cs="Times New Roman"/>
          <w:szCs w:val="28"/>
          <w:lang w:val="de-DE"/>
        </w:rPr>
        <w:t xml:space="preserve">ng bảo trợ </w:t>
      </w:r>
      <w:r w:rsidR="00A5341D" w:rsidRPr="0096488C">
        <w:rPr>
          <w:rFonts w:cs="Times New Roman"/>
          <w:szCs w:val="28"/>
          <w:lang w:val="de-DE"/>
        </w:rPr>
        <w:t xml:space="preserve">cung ứng, </w:t>
      </w:r>
      <w:r w:rsidRPr="0096488C">
        <w:rPr>
          <w:rFonts w:cs="Times New Roman"/>
          <w:szCs w:val="28"/>
          <w:lang w:val="de-DE"/>
        </w:rPr>
        <w:t>tiêu thụ sản phẩm</w:t>
      </w:r>
      <w:r w:rsidR="00A5341D" w:rsidRPr="0096488C">
        <w:rPr>
          <w:rFonts w:cs="Times New Roman"/>
          <w:szCs w:val="28"/>
          <w:lang w:val="de-DE"/>
        </w:rPr>
        <w:t>, dịch vụ</w:t>
      </w:r>
      <w:r w:rsidRPr="0096488C">
        <w:rPr>
          <w:rFonts w:cs="Times New Roman"/>
          <w:szCs w:val="28"/>
          <w:lang w:val="de-DE"/>
        </w:rPr>
        <w:t xml:space="preserve"> </w:t>
      </w:r>
      <w:r w:rsidR="00A5341D" w:rsidRPr="0096488C">
        <w:rPr>
          <w:rFonts w:cs="Times New Roman"/>
          <w:szCs w:val="28"/>
          <w:lang w:val="de-DE"/>
        </w:rPr>
        <w:t>cho thành viên chính thức</w:t>
      </w:r>
      <w:r w:rsidRPr="0096488C">
        <w:rPr>
          <w:rFonts w:cs="Times New Roman"/>
          <w:szCs w:val="28"/>
          <w:lang w:val="de-DE"/>
        </w:rPr>
        <w:t xml:space="preserve"> là giao dịch HTX, </w:t>
      </w:r>
      <w:r w:rsidR="00E66C48" w:rsidRPr="0096488C">
        <w:rPr>
          <w:rFonts w:cs="Times New Roman"/>
          <w:szCs w:val="28"/>
          <w:lang w:val="de-DE"/>
        </w:rPr>
        <w:t>liên hiệp HTX</w:t>
      </w:r>
      <w:r w:rsidRPr="0096488C">
        <w:rPr>
          <w:rFonts w:cs="Times New Roman"/>
          <w:szCs w:val="28"/>
          <w:lang w:val="de-DE"/>
        </w:rPr>
        <w:t xml:space="preserve"> bảo trợ cho thành viên chính thức với đơn vị</w:t>
      </w:r>
      <w:r w:rsidR="00A5341D" w:rsidRPr="0096488C">
        <w:rPr>
          <w:rFonts w:cs="Times New Roman"/>
          <w:szCs w:val="28"/>
          <w:lang w:val="de-DE"/>
        </w:rPr>
        <w:t xml:space="preserve"> cung cấp,</w:t>
      </w:r>
      <w:r w:rsidRPr="0096488C">
        <w:rPr>
          <w:rFonts w:cs="Times New Roman"/>
          <w:szCs w:val="28"/>
          <w:lang w:val="de-DE"/>
        </w:rPr>
        <w:t xml:space="preserve"> thu mua nhằm </w:t>
      </w:r>
      <w:r w:rsidR="00A5341D" w:rsidRPr="0096488C">
        <w:rPr>
          <w:rFonts w:cs="Times New Roman"/>
          <w:szCs w:val="28"/>
          <w:lang w:val="de-DE"/>
        </w:rPr>
        <w:t xml:space="preserve">cung ứng sản phẩm, dịch vụ, hoặc </w:t>
      </w:r>
      <w:r w:rsidRPr="0096488C">
        <w:rPr>
          <w:rFonts w:cs="Times New Roman"/>
          <w:szCs w:val="28"/>
          <w:lang w:val="de-DE"/>
        </w:rPr>
        <w:t xml:space="preserve">tiêu thụ sản phẩm </w:t>
      </w:r>
      <w:r w:rsidR="00A5341D" w:rsidRPr="0096488C">
        <w:rPr>
          <w:rFonts w:cs="Times New Roman"/>
          <w:szCs w:val="28"/>
          <w:lang w:val="de-DE"/>
        </w:rPr>
        <w:t>ch</w:t>
      </w:r>
      <w:r w:rsidRPr="0096488C">
        <w:rPr>
          <w:rFonts w:cs="Times New Roman"/>
          <w:szCs w:val="28"/>
          <w:lang w:val="de-DE"/>
        </w:rPr>
        <w:t>o thành viên chính thức qua xúc tiến hợp đồng giữa thành viên chính thức và đơn vị</w:t>
      </w:r>
      <w:r w:rsidR="00A5341D" w:rsidRPr="0096488C">
        <w:rPr>
          <w:rFonts w:cs="Times New Roman"/>
          <w:szCs w:val="28"/>
          <w:lang w:val="de-DE"/>
        </w:rPr>
        <w:t xml:space="preserve"> cung ứng,</w:t>
      </w:r>
      <w:r w:rsidRPr="0096488C">
        <w:rPr>
          <w:rFonts w:cs="Times New Roman"/>
          <w:szCs w:val="28"/>
          <w:lang w:val="de-DE"/>
        </w:rPr>
        <w:t xml:space="preserve"> thu mua sản phẩm</w:t>
      </w:r>
      <w:r w:rsidR="00F804A9" w:rsidRPr="0096488C">
        <w:rPr>
          <w:rFonts w:cs="Times New Roman"/>
          <w:szCs w:val="28"/>
          <w:lang w:val="de-DE"/>
        </w:rPr>
        <w:t xml:space="preserve">; </w:t>
      </w:r>
      <w:bookmarkEnd w:id="7"/>
    </w:p>
    <w:p w14:paraId="04D6A539" w14:textId="2C1F9E0F" w:rsidR="00835955" w:rsidRPr="0096488C" w:rsidRDefault="00835955" w:rsidP="0096488C">
      <w:pPr>
        <w:spacing w:before="60" w:after="60" w:line="264" w:lineRule="auto"/>
        <w:ind w:firstLine="720"/>
        <w:jc w:val="both"/>
        <w:rPr>
          <w:rFonts w:cs="Times New Roman"/>
          <w:szCs w:val="28"/>
          <w:lang w:val="de-DE"/>
        </w:rPr>
      </w:pPr>
      <w:r w:rsidRPr="0096488C">
        <w:rPr>
          <w:rFonts w:cs="Times New Roman"/>
          <w:szCs w:val="28"/>
          <w:lang w:val="de-DE"/>
        </w:rPr>
        <w:t xml:space="preserve">- Làm rõ giao dịch nội bộ trong hoạt động cho vay nội bộ là giao dịch HTX, </w:t>
      </w:r>
      <w:r w:rsidR="00E66C48" w:rsidRPr="0096488C">
        <w:rPr>
          <w:rFonts w:cs="Times New Roman"/>
          <w:szCs w:val="28"/>
          <w:lang w:val="de-DE"/>
        </w:rPr>
        <w:t>liên hiệp HTX</w:t>
      </w:r>
      <w:r w:rsidRPr="0096488C">
        <w:rPr>
          <w:rFonts w:cs="Times New Roman"/>
          <w:szCs w:val="28"/>
          <w:lang w:val="de-DE"/>
        </w:rPr>
        <w:t xml:space="preserve"> tổ chức hoạt động cho vay nội bộ để hỗ trợ trang trải chi phí sản xuất và đời sống của thành viên chính thức</w:t>
      </w:r>
      <w:r w:rsidR="00A5341D" w:rsidRPr="0096488C">
        <w:rPr>
          <w:rFonts w:cs="Times New Roman"/>
          <w:szCs w:val="28"/>
          <w:lang w:val="de-DE"/>
        </w:rPr>
        <w:t>;</w:t>
      </w:r>
    </w:p>
    <w:p w14:paraId="06D3A8C0" w14:textId="401CDF60" w:rsidR="00A5341D" w:rsidRPr="0096488C" w:rsidRDefault="00A5341D" w:rsidP="0096488C">
      <w:pPr>
        <w:spacing w:before="60" w:after="60" w:line="264" w:lineRule="auto"/>
        <w:ind w:firstLine="720"/>
        <w:jc w:val="both"/>
        <w:rPr>
          <w:rFonts w:cs="Times New Roman"/>
          <w:szCs w:val="28"/>
        </w:rPr>
      </w:pPr>
      <w:r w:rsidRPr="0096488C">
        <w:rPr>
          <w:rFonts w:cs="Times New Roman"/>
          <w:szCs w:val="28"/>
          <w:lang w:val="de-DE"/>
        </w:rPr>
        <w:lastRenderedPageBreak/>
        <w:t>- Đưa ra cách xác định thu nhập từ hoạt động giao dịch nội bộ của hợp tác xã, liên hiệp hợp tác xã bằng doanh thu của hoạt động giao dịch nội bộ trừ đi (-) chi phí liên quan trực tiếp của hoạt động giao dịch nội bộ đó.</w:t>
      </w:r>
    </w:p>
    <w:p w14:paraId="35F6B009" w14:textId="50E73091" w:rsidR="001961C3" w:rsidRPr="0096488C" w:rsidRDefault="007E215F" w:rsidP="0096488C">
      <w:pPr>
        <w:pStyle w:val="Heading5"/>
        <w:spacing w:before="60" w:after="60" w:line="264" w:lineRule="auto"/>
      </w:pPr>
      <w:r w:rsidRPr="0096488C">
        <w:t>2.4</w:t>
      </w:r>
      <w:r w:rsidR="001961C3" w:rsidRPr="0096488C">
        <w:t xml:space="preserve">.4. </w:t>
      </w:r>
      <w:r w:rsidR="000D4071" w:rsidRPr="0096488C">
        <w:t>Về xử lý tài sản khi HTX, liên hiệp HTX giải thể, phá sản, trong đó có xử lý quỹ chung không chia, tài sản chung không chia theo nguồn hình thành của HTX, liên hiệp HTX (Điều 21 dự thảo Nghị định)</w:t>
      </w:r>
    </w:p>
    <w:p w14:paraId="051D0258" w14:textId="74C3877F" w:rsidR="001961C3" w:rsidRPr="0096488C" w:rsidRDefault="008C26B5" w:rsidP="0096488C">
      <w:pPr>
        <w:spacing w:before="60" w:after="60" w:line="264" w:lineRule="auto"/>
        <w:ind w:firstLine="720"/>
        <w:jc w:val="both"/>
        <w:rPr>
          <w:rFonts w:cs="Times New Roman"/>
          <w:bCs/>
          <w:iCs/>
          <w:szCs w:val="28"/>
        </w:rPr>
      </w:pPr>
      <w:r w:rsidRPr="0096488C">
        <w:rPr>
          <w:rFonts w:cs="Times New Roman"/>
          <w:bCs/>
          <w:iCs/>
          <w:szCs w:val="28"/>
        </w:rPr>
        <w:t xml:space="preserve">- </w:t>
      </w:r>
      <w:r w:rsidR="001961C3" w:rsidRPr="0096488C">
        <w:rPr>
          <w:rFonts w:cs="Times New Roman"/>
          <w:bCs/>
          <w:iCs/>
          <w:szCs w:val="28"/>
        </w:rPr>
        <w:t>Quy định chi tiết Điều 99, 101 Luật H</w:t>
      </w:r>
      <w:r w:rsidR="00C46841" w:rsidRPr="0096488C">
        <w:rPr>
          <w:rFonts w:cs="Times New Roman"/>
          <w:bCs/>
          <w:iCs/>
          <w:szCs w:val="28"/>
        </w:rPr>
        <w:t xml:space="preserve">TX năm 2023 </w:t>
      </w:r>
      <w:r w:rsidR="001961C3" w:rsidRPr="0096488C">
        <w:rPr>
          <w:rFonts w:cs="Times New Roman"/>
          <w:bCs/>
          <w:iCs/>
          <w:szCs w:val="28"/>
        </w:rPr>
        <w:t xml:space="preserve">về xử </w:t>
      </w:r>
      <w:r w:rsidR="00E27BA2" w:rsidRPr="0096488C">
        <w:rPr>
          <w:rFonts w:cs="Times New Roman"/>
          <w:bCs/>
          <w:iCs/>
          <w:szCs w:val="28"/>
        </w:rPr>
        <w:t xml:space="preserve">lý </w:t>
      </w:r>
      <w:r w:rsidR="001961C3" w:rsidRPr="0096488C">
        <w:rPr>
          <w:rFonts w:cs="Times New Roman"/>
          <w:bCs/>
          <w:iCs/>
          <w:szCs w:val="28"/>
        </w:rPr>
        <w:t xml:space="preserve">tài sản khi </w:t>
      </w:r>
      <w:r w:rsidR="00746A03" w:rsidRPr="0096488C">
        <w:rPr>
          <w:rFonts w:cs="Times New Roman"/>
          <w:bCs/>
          <w:iCs/>
          <w:szCs w:val="28"/>
        </w:rPr>
        <w:t>HTX</w:t>
      </w:r>
      <w:r w:rsidR="001961C3" w:rsidRPr="0096488C">
        <w:rPr>
          <w:rFonts w:cs="Times New Roman"/>
          <w:bCs/>
          <w:iCs/>
          <w:szCs w:val="28"/>
        </w:rPr>
        <w:t xml:space="preserve">, liên hiệp </w:t>
      </w:r>
      <w:r w:rsidR="00746A03" w:rsidRPr="0096488C">
        <w:rPr>
          <w:rFonts w:cs="Times New Roman"/>
          <w:bCs/>
          <w:iCs/>
          <w:szCs w:val="28"/>
        </w:rPr>
        <w:t>HTX</w:t>
      </w:r>
      <w:r w:rsidR="001961C3" w:rsidRPr="0096488C">
        <w:rPr>
          <w:rFonts w:cs="Times New Roman"/>
          <w:bCs/>
          <w:iCs/>
          <w:szCs w:val="28"/>
        </w:rPr>
        <w:t xml:space="preserve"> giải thể, phá sản</w:t>
      </w:r>
      <w:r w:rsidR="00E85BD7" w:rsidRPr="0096488C">
        <w:rPr>
          <w:rFonts w:cs="Times New Roman"/>
          <w:bCs/>
          <w:iCs/>
          <w:szCs w:val="28"/>
        </w:rPr>
        <w:t>, như sau</w:t>
      </w:r>
      <w:r w:rsidR="001961C3" w:rsidRPr="0096488C">
        <w:rPr>
          <w:rFonts w:cs="Times New Roman"/>
          <w:bCs/>
          <w:iCs/>
          <w:szCs w:val="28"/>
        </w:rPr>
        <w:t xml:space="preserve">: </w:t>
      </w:r>
    </w:p>
    <w:p w14:paraId="4B7BCA85" w14:textId="6C604F96" w:rsidR="00E85BD7" w:rsidRPr="0096488C" w:rsidRDefault="008C26B5" w:rsidP="0096488C">
      <w:pPr>
        <w:pStyle w:val="Noidung"/>
        <w:widowControl w:val="0"/>
        <w:tabs>
          <w:tab w:val="left" w:pos="851"/>
          <w:tab w:val="left" w:pos="1134"/>
        </w:tabs>
        <w:spacing w:before="60" w:after="60" w:line="264" w:lineRule="auto"/>
        <w:rPr>
          <w:szCs w:val="28"/>
          <w:lang w:val="pt-BR"/>
        </w:rPr>
      </w:pPr>
      <w:r w:rsidRPr="0096488C">
        <w:rPr>
          <w:szCs w:val="28"/>
          <w:lang w:val="pt-BR"/>
        </w:rPr>
        <w:t>+</w:t>
      </w:r>
      <w:r w:rsidR="00E85BD7" w:rsidRPr="0096488C">
        <w:rPr>
          <w:szCs w:val="28"/>
          <w:lang w:val="pt-BR"/>
        </w:rPr>
        <w:t xml:space="preserve"> HTX, liên hiệp HTX thanh lý, chuyển nhượng các tài </w:t>
      </w:r>
      <w:r w:rsidR="00E85BD7" w:rsidRPr="0096488C">
        <w:rPr>
          <w:szCs w:val="28"/>
        </w:rPr>
        <w:t xml:space="preserve">sản chung không chia từ nguồn tích lũy của HTX, </w:t>
      </w:r>
      <w:r w:rsidR="00E85BD7" w:rsidRPr="0096488C">
        <w:rPr>
          <w:szCs w:val="28"/>
          <w:lang w:val="pt-BR"/>
        </w:rPr>
        <w:t xml:space="preserve">liên hiệp HTX hoặc từ các khoản cho, tặng hợp pháp mà không có quy định phải trả lại khi HTX giải thể, phá sản. Tiền thu được HTX, liên hiệp HTX tự quyết định </w:t>
      </w:r>
      <w:r w:rsidR="00AB565E" w:rsidRPr="0096488C">
        <w:rPr>
          <w:szCs w:val="28"/>
          <w:lang w:val="pt-BR"/>
        </w:rPr>
        <w:t>theo</w:t>
      </w:r>
      <w:r w:rsidR="00E85BD7" w:rsidRPr="0096488C">
        <w:rPr>
          <w:szCs w:val="28"/>
          <w:lang w:val="pt-BR"/>
        </w:rPr>
        <w:t xml:space="preserve"> quy định của </w:t>
      </w:r>
      <w:r w:rsidRPr="0096488C">
        <w:rPr>
          <w:szCs w:val="28"/>
          <w:lang w:val="pt-BR"/>
        </w:rPr>
        <w:t>Điều lệ,</w:t>
      </w:r>
      <w:r w:rsidR="00AB565E" w:rsidRPr="0096488C">
        <w:rPr>
          <w:szCs w:val="28"/>
          <w:lang w:val="pt-BR"/>
        </w:rPr>
        <w:t xml:space="preserve"> Đại hội thành viên phù hợp với quy định của</w:t>
      </w:r>
      <w:r w:rsidRPr="0096488C">
        <w:rPr>
          <w:szCs w:val="28"/>
          <w:lang w:val="pt-BR"/>
        </w:rPr>
        <w:t xml:space="preserve"> </w:t>
      </w:r>
      <w:r w:rsidR="00E85BD7" w:rsidRPr="0096488C">
        <w:rPr>
          <w:szCs w:val="28"/>
          <w:lang w:val="pt-BR"/>
        </w:rPr>
        <w:t>Luật HTX</w:t>
      </w:r>
      <w:r w:rsidRPr="0096488C">
        <w:rPr>
          <w:szCs w:val="28"/>
          <w:lang w:val="pt-BR"/>
        </w:rPr>
        <w:t xml:space="preserve"> và pháp luật có liên quan</w:t>
      </w:r>
      <w:r w:rsidR="00E85BD7" w:rsidRPr="0096488C">
        <w:rPr>
          <w:szCs w:val="28"/>
          <w:lang w:val="pt-BR"/>
        </w:rPr>
        <w:t>.</w:t>
      </w:r>
    </w:p>
    <w:p w14:paraId="67153D69" w14:textId="45DA236E" w:rsidR="00E85BD7" w:rsidRPr="0096488C" w:rsidRDefault="008C26B5" w:rsidP="0096488C">
      <w:pPr>
        <w:pStyle w:val="Noidung"/>
        <w:widowControl w:val="0"/>
        <w:tabs>
          <w:tab w:val="left" w:pos="851"/>
          <w:tab w:val="left" w:pos="1134"/>
        </w:tabs>
        <w:spacing w:before="60" w:after="60" w:line="264" w:lineRule="auto"/>
        <w:rPr>
          <w:szCs w:val="28"/>
        </w:rPr>
      </w:pPr>
      <w:r w:rsidRPr="0096488C">
        <w:rPr>
          <w:szCs w:val="28"/>
          <w:lang w:val="pt-BR"/>
        </w:rPr>
        <w:t>+</w:t>
      </w:r>
      <w:r w:rsidR="00E85BD7" w:rsidRPr="0096488C">
        <w:rPr>
          <w:szCs w:val="28"/>
          <w:lang w:val="pt-BR"/>
        </w:rPr>
        <w:t xml:space="preserve"> </w:t>
      </w:r>
      <w:r w:rsidR="00E85BD7" w:rsidRPr="0096488C">
        <w:rPr>
          <w:szCs w:val="28"/>
        </w:rPr>
        <w:t>Đối với tài sản chung không chia quy định tại điểm a khoản 2 Điều 88 Luật HTX thì xử lý theo quy định của pháp luật về đất đai.</w:t>
      </w:r>
    </w:p>
    <w:p w14:paraId="34E1D0F8" w14:textId="68A6E9C8" w:rsidR="00E85BD7" w:rsidRPr="0096488C" w:rsidRDefault="008C26B5" w:rsidP="0096488C">
      <w:pPr>
        <w:pStyle w:val="Noidung"/>
        <w:widowControl w:val="0"/>
        <w:tabs>
          <w:tab w:val="left" w:pos="851"/>
          <w:tab w:val="left" w:pos="1134"/>
        </w:tabs>
        <w:spacing w:before="60" w:after="60" w:line="264" w:lineRule="auto"/>
        <w:rPr>
          <w:szCs w:val="28"/>
        </w:rPr>
      </w:pPr>
      <w:r w:rsidRPr="0096488C">
        <w:rPr>
          <w:szCs w:val="28"/>
        </w:rPr>
        <w:t>+</w:t>
      </w:r>
      <w:r w:rsidR="00E85BD7" w:rsidRPr="0096488C">
        <w:rPr>
          <w:szCs w:val="28"/>
        </w:rPr>
        <w:t xml:space="preserve"> Đối với tài sản chung không chia quy định tại điểm </w:t>
      </w:r>
      <w:r w:rsidR="000D4071" w:rsidRPr="0096488C">
        <w:rPr>
          <w:szCs w:val="28"/>
        </w:rPr>
        <w:t xml:space="preserve">c, </w:t>
      </w:r>
      <w:r w:rsidR="00E85BD7" w:rsidRPr="0096488C">
        <w:rPr>
          <w:szCs w:val="28"/>
        </w:rPr>
        <w:t xml:space="preserve">đ khoản 2 Điều 88 Luật HTX </w:t>
      </w:r>
      <w:r w:rsidR="00BB32F3" w:rsidRPr="0096488C">
        <w:rPr>
          <w:szCs w:val="28"/>
        </w:rPr>
        <w:t xml:space="preserve">do Nhà nước hỗ trợ toàn bộ </w:t>
      </w:r>
      <w:r w:rsidR="00E85BD7" w:rsidRPr="0096488C">
        <w:rPr>
          <w:szCs w:val="28"/>
        </w:rPr>
        <w:t xml:space="preserve">thì xử lý </w:t>
      </w:r>
      <w:r w:rsidR="000D4071" w:rsidRPr="0096488C">
        <w:rPr>
          <w:szCs w:val="28"/>
        </w:rPr>
        <w:t>thực hiện bàn giao cho Ủy ban nhân dân nơi cấp Giấy Chứng nhận đăng ký hợp tác xã để xử lý theo quy định của pháp luật về quản lý, sử dụng tài sản công</w:t>
      </w:r>
      <w:r w:rsidR="00E85BD7" w:rsidRPr="0096488C">
        <w:rPr>
          <w:szCs w:val="28"/>
        </w:rPr>
        <w:t>.</w:t>
      </w:r>
    </w:p>
    <w:p w14:paraId="561A7C2E" w14:textId="6BC02933" w:rsidR="00E85BD7" w:rsidRPr="0096488C" w:rsidRDefault="00E85BD7" w:rsidP="0096488C">
      <w:pPr>
        <w:pStyle w:val="Noidung"/>
        <w:widowControl w:val="0"/>
        <w:tabs>
          <w:tab w:val="left" w:pos="851"/>
          <w:tab w:val="left" w:pos="1134"/>
        </w:tabs>
        <w:spacing w:before="60" w:after="60" w:line="264" w:lineRule="auto"/>
        <w:rPr>
          <w:szCs w:val="28"/>
        </w:rPr>
      </w:pPr>
      <w:r w:rsidRPr="0096488C">
        <w:rPr>
          <w:szCs w:val="28"/>
        </w:rPr>
        <w:t xml:space="preserve">+ Đối với tài sản chung không chia quy định tại điểm c khoản 2 Điều 88 Luật HTX tài sản </w:t>
      </w:r>
      <w:r w:rsidR="00D3413F" w:rsidRPr="0096488C">
        <w:rPr>
          <w:szCs w:val="28"/>
        </w:rPr>
        <w:t>do Nhà nước hỗ trợ một phần được quy định là tài sản chung không chia</w:t>
      </w:r>
      <w:r w:rsidRPr="0096488C">
        <w:rPr>
          <w:szCs w:val="28"/>
        </w:rPr>
        <w:t xml:space="preserve"> thì bàn giao cho cơ quan có thẩm quyền để chuyển nhượng, thanh lý theo quy định của pháp luật về đ</w:t>
      </w:r>
      <w:r w:rsidR="008C26B5" w:rsidRPr="0096488C">
        <w:rPr>
          <w:szCs w:val="28"/>
        </w:rPr>
        <w:t>ấu giá tài sản</w:t>
      </w:r>
      <w:r w:rsidRPr="0096488C">
        <w:rPr>
          <w:szCs w:val="28"/>
        </w:rPr>
        <w:t>. Tiền thu được từ chuyển nhượng, thanh lý này được trả lại cho HTX, liên hiệp HTX phần giá trị tương ứng theo tỷ lệ nguồn hình thành tài sản ban đầu</w:t>
      </w:r>
      <w:r w:rsidR="00D3413F" w:rsidRPr="0096488C">
        <w:rPr>
          <w:szCs w:val="28"/>
        </w:rPr>
        <w:t xml:space="preserve">, phần giá trị tương ứng tỷ lệ của Nhà nước đã hỗ trợ chuyển vào </w:t>
      </w:r>
      <w:r w:rsidR="002C4FFB" w:rsidRPr="0096488C">
        <w:rPr>
          <w:szCs w:val="28"/>
        </w:rPr>
        <w:t>NSNN</w:t>
      </w:r>
      <w:r w:rsidR="00D3413F" w:rsidRPr="0096488C">
        <w:rPr>
          <w:szCs w:val="28"/>
        </w:rPr>
        <w:t xml:space="preserve"> c</w:t>
      </w:r>
      <w:r w:rsidR="00BB32F3" w:rsidRPr="0096488C">
        <w:rPr>
          <w:szCs w:val="28"/>
        </w:rPr>
        <w:t>ù</w:t>
      </w:r>
      <w:r w:rsidR="00D3413F" w:rsidRPr="0096488C">
        <w:rPr>
          <w:szCs w:val="28"/>
        </w:rPr>
        <w:t>ng cấp</w:t>
      </w:r>
      <w:r w:rsidRPr="0096488C">
        <w:rPr>
          <w:szCs w:val="28"/>
        </w:rPr>
        <w:t>.</w:t>
      </w:r>
    </w:p>
    <w:p w14:paraId="529477CC" w14:textId="4331A164" w:rsidR="002E5AFF" w:rsidRPr="0096488C" w:rsidRDefault="002E5AFF" w:rsidP="0096488C">
      <w:pPr>
        <w:pStyle w:val="Noidung"/>
        <w:widowControl w:val="0"/>
        <w:tabs>
          <w:tab w:val="left" w:pos="851"/>
          <w:tab w:val="left" w:pos="1134"/>
        </w:tabs>
        <w:spacing w:before="60" w:after="60" w:line="264" w:lineRule="auto"/>
        <w:rPr>
          <w:szCs w:val="28"/>
        </w:rPr>
      </w:pPr>
      <w:r w:rsidRPr="0096488C">
        <w:rPr>
          <w:szCs w:val="28"/>
        </w:rPr>
        <w:t xml:space="preserve">+ </w:t>
      </w:r>
      <w:r w:rsidR="004B4BBC" w:rsidRPr="0096488C">
        <w:rPr>
          <w:rFonts w:eastAsia="Times New Roman"/>
          <w:szCs w:val="28"/>
        </w:rPr>
        <w:t xml:space="preserve">Đối với tài sản chung không chia là tài sản gắn liền với đất theo quy định của pháp luật có nguồn hình thành toàn bộ hoặc một phần từ hỗ trợ của Nhà nước được xây dựng trên đất mà quyền sử dụng đất là của </w:t>
      </w:r>
      <w:r w:rsidR="008309B7" w:rsidRPr="0096488C">
        <w:rPr>
          <w:rFonts w:eastAsia="Times New Roman"/>
          <w:szCs w:val="28"/>
        </w:rPr>
        <w:t>HTX</w:t>
      </w:r>
      <w:r w:rsidR="004B4BBC" w:rsidRPr="0096488C">
        <w:rPr>
          <w:rFonts w:eastAsia="Times New Roman"/>
          <w:szCs w:val="28"/>
        </w:rPr>
        <w:t xml:space="preserve">, liên hiệp </w:t>
      </w:r>
      <w:r w:rsidR="008309B7" w:rsidRPr="0096488C">
        <w:rPr>
          <w:rFonts w:eastAsia="Times New Roman"/>
          <w:szCs w:val="28"/>
        </w:rPr>
        <w:t>HTX</w:t>
      </w:r>
      <w:r w:rsidR="004B4BBC" w:rsidRPr="0096488C">
        <w:rPr>
          <w:rFonts w:eastAsia="Times New Roman"/>
          <w:szCs w:val="28"/>
        </w:rPr>
        <w:t xml:space="preserve"> và </w:t>
      </w:r>
      <w:r w:rsidR="008309B7" w:rsidRPr="0096488C">
        <w:rPr>
          <w:rFonts w:eastAsia="Times New Roman"/>
          <w:szCs w:val="28"/>
        </w:rPr>
        <w:t>HTX</w:t>
      </w:r>
      <w:r w:rsidR="004B4BBC" w:rsidRPr="0096488C">
        <w:rPr>
          <w:rFonts w:eastAsia="Times New Roman"/>
          <w:szCs w:val="28"/>
        </w:rPr>
        <w:t xml:space="preserve">, liên hiệp </w:t>
      </w:r>
      <w:r w:rsidR="008309B7" w:rsidRPr="0096488C">
        <w:rPr>
          <w:rFonts w:eastAsia="Times New Roman"/>
          <w:szCs w:val="28"/>
        </w:rPr>
        <w:t>HTX</w:t>
      </w:r>
      <w:r w:rsidR="004B4BBC" w:rsidRPr="0096488C">
        <w:rPr>
          <w:rFonts w:eastAsia="Times New Roman"/>
          <w:szCs w:val="28"/>
        </w:rPr>
        <w:t xml:space="preserve"> dùng quyền sử dụng đất này làm vốn đối ứng để đầu tư tài sản chung không chia là tài sản gắn liền với đất này, khi giải thể, phá sản </w:t>
      </w:r>
      <w:r w:rsidR="008309B7" w:rsidRPr="0096488C">
        <w:rPr>
          <w:rFonts w:eastAsia="Times New Roman"/>
          <w:szCs w:val="28"/>
        </w:rPr>
        <w:t>HTX</w:t>
      </w:r>
      <w:r w:rsidR="004B4BBC" w:rsidRPr="0096488C">
        <w:rPr>
          <w:rFonts w:eastAsia="Times New Roman"/>
          <w:szCs w:val="28"/>
        </w:rPr>
        <w:t xml:space="preserve">, liên hiệp </w:t>
      </w:r>
      <w:r w:rsidR="008309B7" w:rsidRPr="0096488C">
        <w:rPr>
          <w:rFonts w:eastAsia="Times New Roman"/>
          <w:szCs w:val="28"/>
        </w:rPr>
        <w:t>HTX</w:t>
      </w:r>
      <w:r w:rsidR="004B4BBC" w:rsidRPr="0096488C">
        <w:rPr>
          <w:rFonts w:eastAsia="Times New Roman"/>
          <w:szCs w:val="28"/>
        </w:rPr>
        <w:t xml:space="preserve"> thực hiện công tác định giá theo quy định tại khoản 3 Điều 77 Luật </w:t>
      </w:r>
      <w:r w:rsidR="00487CE9" w:rsidRPr="0096488C">
        <w:rPr>
          <w:rFonts w:eastAsia="Times New Roman"/>
          <w:szCs w:val="28"/>
        </w:rPr>
        <w:t>HTX</w:t>
      </w:r>
      <w:r w:rsidR="004B4BBC" w:rsidRPr="0096488C">
        <w:rPr>
          <w:rFonts w:eastAsia="Times New Roman"/>
          <w:szCs w:val="28"/>
        </w:rPr>
        <w:t xml:space="preserve"> và bàn giao tài sản chung không chia này cho Ủy ban nhân dân nơi cấp Giấy Chứng nhận đăng ký </w:t>
      </w:r>
      <w:r w:rsidR="008309B7" w:rsidRPr="0096488C">
        <w:rPr>
          <w:rFonts w:eastAsia="Times New Roman"/>
          <w:szCs w:val="28"/>
        </w:rPr>
        <w:t>HTX</w:t>
      </w:r>
      <w:r w:rsidR="004B4BBC" w:rsidRPr="0096488C">
        <w:rPr>
          <w:rFonts w:eastAsia="Times New Roman"/>
          <w:szCs w:val="28"/>
        </w:rPr>
        <w:t xml:space="preserve">. </w:t>
      </w:r>
      <w:r w:rsidR="00487CE9" w:rsidRPr="0096488C">
        <w:rPr>
          <w:rFonts w:eastAsia="Times New Roman"/>
          <w:szCs w:val="28"/>
        </w:rPr>
        <w:t>HTX</w:t>
      </w:r>
      <w:r w:rsidR="004B4BBC" w:rsidRPr="0096488C">
        <w:rPr>
          <w:rFonts w:eastAsia="Times New Roman"/>
          <w:szCs w:val="28"/>
        </w:rPr>
        <w:t xml:space="preserve">, liên hiệp </w:t>
      </w:r>
      <w:r w:rsidR="008309B7" w:rsidRPr="0096488C">
        <w:rPr>
          <w:rFonts w:eastAsia="Times New Roman"/>
          <w:szCs w:val="28"/>
        </w:rPr>
        <w:t>HTX</w:t>
      </w:r>
      <w:r w:rsidR="004B4BBC" w:rsidRPr="0096488C">
        <w:rPr>
          <w:rFonts w:eastAsia="Times New Roman"/>
          <w:szCs w:val="28"/>
        </w:rPr>
        <w:t xml:space="preserve"> được quyền ưu tiên nhận chuyển nhượng, thanh lý trước đối với tài sản chung không chia này.</w:t>
      </w:r>
      <w:r w:rsidR="00BB32F3" w:rsidRPr="0096488C">
        <w:rPr>
          <w:rFonts w:eastAsia="Times New Roman"/>
          <w:szCs w:val="28"/>
        </w:rPr>
        <w:t xml:space="preserve"> </w:t>
      </w:r>
      <w:r w:rsidR="00BB32F3" w:rsidRPr="0096488C">
        <w:rPr>
          <w:szCs w:val="28"/>
        </w:rPr>
        <w:t>Tiền thu được từ chuyển nhượng, thanh lý này được trả lại cho HTX, liên hiệp HTX phần giá trị tương ứng theo tỷ lệ nguồn hình thành tài sản ban đầu, phần giá trị tương ứng tỷ lệ của Nhà nước đã hỗ trợ chuyển vào NSNN cùng cấp.</w:t>
      </w:r>
    </w:p>
    <w:p w14:paraId="73E09FDF" w14:textId="45F98648" w:rsidR="006E052B" w:rsidRPr="0096488C" w:rsidRDefault="00E85BD7" w:rsidP="0096488C">
      <w:pPr>
        <w:spacing w:before="60" w:after="60" w:line="264" w:lineRule="auto"/>
        <w:ind w:firstLine="567"/>
        <w:jc w:val="both"/>
        <w:rPr>
          <w:rFonts w:cs="Times New Roman"/>
          <w:szCs w:val="28"/>
        </w:rPr>
      </w:pPr>
      <w:r w:rsidRPr="0096488C">
        <w:rPr>
          <w:rFonts w:cs="Times New Roman"/>
          <w:szCs w:val="28"/>
        </w:rPr>
        <w:lastRenderedPageBreak/>
        <w:t>+ Quy định rõ cách thức</w:t>
      </w:r>
      <w:r w:rsidR="00D3413F" w:rsidRPr="0096488C">
        <w:rPr>
          <w:rFonts w:cs="Times New Roman"/>
          <w:szCs w:val="28"/>
        </w:rPr>
        <w:t>, hồ sơ</w:t>
      </w:r>
      <w:r w:rsidRPr="0096488C">
        <w:rPr>
          <w:rFonts w:cs="Times New Roman"/>
          <w:szCs w:val="28"/>
        </w:rPr>
        <w:t xml:space="preserve"> bàn giao các tài sản chung không chia có nguồn hình thành từ hỗ trợ của Nhà nước cho cơ quan có thẩm quyền xử lý theo nguồn hình thành tài sản.</w:t>
      </w:r>
    </w:p>
    <w:p w14:paraId="4C4E9145" w14:textId="42F1BC07" w:rsidR="001B2B76" w:rsidRPr="0096488C" w:rsidRDefault="006E052B" w:rsidP="0096488C">
      <w:pPr>
        <w:spacing w:before="60" w:after="60" w:line="264" w:lineRule="auto"/>
        <w:ind w:firstLine="567"/>
        <w:jc w:val="both"/>
        <w:rPr>
          <w:rFonts w:eastAsia="Arial" w:cs="Times New Roman"/>
          <w:szCs w:val="28"/>
          <w:lang w:val="it-IT"/>
        </w:rPr>
      </w:pPr>
      <w:r w:rsidRPr="0096488C">
        <w:rPr>
          <w:lang w:val="pt-BR"/>
        </w:rPr>
        <w:t>- Đối với vốn, quỹ, tài sản khác của HTX, liên hiệp HTX không phải là quỹ chung không chia, tài sản chung không chia, khi giải thể, phá sản thì HTX, liên hiệp HTX xử lý theo quy định của Điều lệ, Đại hội thành viên phù hợp với quy định của Luật HTX và pháp luật có liên quan</w:t>
      </w:r>
      <w:r w:rsidR="00AB565E" w:rsidRPr="0096488C">
        <w:rPr>
          <w:rFonts w:cs="Times New Roman"/>
          <w:szCs w:val="28"/>
          <w:lang w:val="it-IT"/>
        </w:rPr>
        <w:t>.</w:t>
      </w:r>
    </w:p>
    <w:p w14:paraId="3E0F5DFF" w14:textId="19F93B23" w:rsidR="00FC2538" w:rsidRPr="0096488C" w:rsidRDefault="007E215F" w:rsidP="0096488C">
      <w:pPr>
        <w:pStyle w:val="Heading4"/>
        <w:spacing w:before="60" w:after="60"/>
        <w:rPr>
          <w:lang w:val="en-US"/>
        </w:rPr>
      </w:pPr>
      <w:r w:rsidRPr="0096488C">
        <w:rPr>
          <w:szCs w:val="28"/>
          <w:lang w:val="en-US"/>
        </w:rPr>
        <w:t>2.5</w:t>
      </w:r>
      <w:r w:rsidR="00A31011" w:rsidRPr="0096488C">
        <w:rPr>
          <w:szCs w:val="28"/>
          <w:lang w:val="en-US"/>
        </w:rPr>
        <w:t>.</w:t>
      </w:r>
      <w:r w:rsidR="00FC2538" w:rsidRPr="0096488C">
        <w:rPr>
          <w:szCs w:val="28"/>
          <w:lang w:val="en-US"/>
        </w:rPr>
        <w:t xml:space="preserve"> Chương V</w:t>
      </w:r>
      <w:r w:rsidR="000D0C37" w:rsidRPr="0096488C">
        <w:rPr>
          <w:szCs w:val="28"/>
          <w:lang w:val="en-US"/>
        </w:rPr>
        <w:t xml:space="preserve"> về</w:t>
      </w:r>
      <w:r w:rsidR="00FC2538" w:rsidRPr="0096488C">
        <w:rPr>
          <w:szCs w:val="28"/>
          <w:lang w:val="en-US"/>
        </w:rPr>
        <w:t xml:space="preserve"> </w:t>
      </w:r>
      <w:r w:rsidR="001B2B76" w:rsidRPr="0096488C">
        <w:rPr>
          <w:szCs w:val="28"/>
          <w:lang w:val="en-US"/>
        </w:rPr>
        <w:t xml:space="preserve">Tổ chức thực hiện </w:t>
      </w:r>
    </w:p>
    <w:p w14:paraId="51E05E90" w14:textId="5DFA48CD" w:rsidR="0073562A" w:rsidRPr="0096488C" w:rsidRDefault="001B2B76" w:rsidP="0096488C">
      <w:pPr>
        <w:spacing w:before="60" w:after="60" w:line="264" w:lineRule="auto"/>
        <w:jc w:val="both"/>
        <w:rPr>
          <w:rFonts w:cs="Times New Roman"/>
          <w:szCs w:val="28"/>
          <w:lang w:eastAsia="zh-CN"/>
        </w:rPr>
      </w:pPr>
      <w:r w:rsidRPr="0096488C">
        <w:rPr>
          <w:rFonts w:cs="Times New Roman"/>
          <w:szCs w:val="28"/>
          <w:lang w:val="x-none" w:eastAsia="zh-CN"/>
        </w:rPr>
        <w:tab/>
      </w:r>
      <w:r w:rsidRPr="0096488C">
        <w:rPr>
          <w:rFonts w:cs="Times New Roman"/>
          <w:szCs w:val="28"/>
          <w:lang w:eastAsia="zh-CN"/>
        </w:rPr>
        <w:t xml:space="preserve">- </w:t>
      </w:r>
      <w:r w:rsidR="00C61F4E" w:rsidRPr="0096488C">
        <w:rPr>
          <w:rFonts w:cs="Times New Roman"/>
          <w:szCs w:val="28"/>
          <w:lang w:eastAsia="zh-CN"/>
        </w:rPr>
        <w:t>Điều 2</w:t>
      </w:r>
      <w:r w:rsidR="00236E07" w:rsidRPr="0096488C">
        <w:rPr>
          <w:rFonts w:cs="Times New Roman"/>
          <w:szCs w:val="28"/>
          <w:lang w:eastAsia="zh-CN"/>
        </w:rPr>
        <w:t>2</w:t>
      </w:r>
      <w:r w:rsidR="00C61F4E" w:rsidRPr="0096488C">
        <w:rPr>
          <w:rFonts w:cs="Times New Roman"/>
          <w:szCs w:val="28"/>
          <w:lang w:eastAsia="zh-CN"/>
        </w:rPr>
        <w:t xml:space="preserve"> dự thảo Nghị định q</w:t>
      </w:r>
      <w:r w:rsidRPr="0096488C">
        <w:rPr>
          <w:rFonts w:cs="Times New Roman"/>
          <w:szCs w:val="28"/>
          <w:lang w:eastAsia="zh-CN"/>
        </w:rPr>
        <w:t>uy định trách nhiệm của các bộ, ngành, cơ quan thuộc Chính phủ trong việc xây dựng trình Chính ph</w:t>
      </w:r>
      <w:r w:rsidR="00123D9A" w:rsidRPr="0096488C">
        <w:rPr>
          <w:rFonts w:cs="Times New Roman"/>
          <w:szCs w:val="28"/>
          <w:lang w:eastAsia="zh-CN"/>
        </w:rPr>
        <w:t>ủ</w:t>
      </w:r>
      <w:r w:rsidRPr="0096488C">
        <w:rPr>
          <w:rFonts w:cs="Times New Roman"/>
          <w:szCs w:val="28"/>
          <w:lang w:eastAsia="zh-CN"/>
        </w:rPr>
        <w:t xml:space="preserve"> Chương trình tổng thể phát triển kinh tế tập thể, xây dựng kế hoạch, dự toán </w:t>
      </w:r>
      <w:r w:rsidR="002C4FFB" w:rsidRPr="0096488C">
        <w:rPr>
          <w:rFonts w:cs="Times New Roman"/>
          <w:szCs w:val="28"/>
          <w:lang w:eastAsia="zh-CN"/>
        </w:rPr>
        <w:t>NSNN</w:t>
      </w:r>
      <w:r w:rsidRPr="0096488C">
        <w:rPr>
          <w:rFonts w:cs="Times New Roman"/>
          <w:szCs w:val="28"/>
          <w:lang w:eastAsia="zh-CN"/>
        </w:rPr>
        <w:t xml:space="preserve"> thực hiện các chính sách hỗ trợ quy định tại Nghị định</w:t>
      </w:r>
      <w:r w:rsidR="00756BA5" w:rsidRPr="0096488C">
        <w:rPr>
          <w:rFonts w:cs="Times New Roman"/>
          <w:szCs w:val="28"/>
          <w:lang w:eastAsia="zh-CN"/>
        </w:rPr>
        <w:t>, thực hiện thanh tra, kiểm tra và xử lý các hành vi vi phạm pháp luật theo quy định</w:t>
      </w:r>
      <w:r w:rsidRPr="0096488C">
        <w:rPr>
          <w:rFonts w:cs="Times New Roman"/>
          <w:szCs w:val="28"/>
          <w:lang w:eastAsia="zh-CN"/>
        </w:rPr>
        <w:t xml:space="preserve">; </w:t>
      </w:r>
      <w:r w:rsidR="0073562A" w:rsidRPr="0096488C">
        <w:rPr>
          <w:rFonts w:cs="Times New Roman"/>
          <w:szCs w:val="28"/>
          <w:lang w:eastAsia="zh-CN"/>
        </w:rPr>
        <w:t xml:space="preserve">trách nhiệm của Bộ </w:t>
      </w:r>
      <w:r w:rsidR="0073562A" w:rsidRPr="0096488C">
        <w:rPr>
          <w:rFonts w:cs="Times New Roman"/>
          <w:szCs w:val="28"/>
        </w:rPr>
        <w:t xml:space="preserve">Kế hoạch và Đầu tư </w:t>
      </w:r>
      <w:r w:rsidR="00066417" w:rsidRPr="0096488C">
        <w:rPr>
          <w:rFonts w:cs="Times New Roman"/>
          <w:szCs w:val="28"/>
        </w:rPr>
        <w:t>trong việc</w:t>
      </w:r>
      <w:r w:rsidR="0073562A" w:rsidRPr="0096488C">
        <w:rPr>
          <w:rFonts w:cs="Times New Roman"/>
          <w:szCs w:val="28"/>
        </w:rPr>
        <w:t xml:space="preserve"> xây dựng, quản lý và vận hành Hệ thống thông tin quốc gia về </w:t>
      </w:r>
      <w:r w:rsidR="008309B7" w:rsidRPr="0096488C">
        <w:rPr>
          <w:rFonts w:cs="Times New Roman"/>
          <w:szCs w:val="28"/>
        </w:rPr>
        <w:t>HTX</w:t>
      </w:r>
      <w:r w:rsidR="0073562A" w:rsidRPr="0096488C">
        <w:rPr>
          <w:rFonts w:cs="Times New Roman"/>
          <w:szCs w:val="28"/>
        </w:rPr>
        <w:t xml:space="preserve">; </w:t>
      </w:r>
      <w:r w:rsidR="00920A72" w:rsidRPr="0096488C">
        <w:rPr>
          <w:rFonts w:cs="Times New Roman"/>
          <w:szCs w:val="28"/>
        </w:rPr>
        <w:t xml:space="preserve">trách nhiệm của </w:t>
      </w:r>
      <w:r w:rsidR="0073562A" w:rsidRPr="0096488C">
        <w:rPr>
          <w:rFonts w:cs="Times New Roman"/>
          <w:szCs w:val="28"/>
        </w:rPr>
        <w:t>các bộ, ngành, địa phương thực hiện công khai thông tin hỗ trợ tổ hợp tác, HTX, liên hiệp HTX trên trang thông tin điện tử của mình, đồng thời cung cấp, cập nhật thông tin về hỗ trợ tổ hợp tác, HTX, liên hiệp HTX trên</w:t>
      </w:r>
      <w:r w:rsidR="0073562A" w:rsidRPr="0096488C">
        <w:rPr>
          <w:rFonts w:cs="Times New Roman"/>
          <w:spacing w:val="-4"/>
          <w:szCs w:val="28"/>
        </w:rPr>
        <w:t xml:space="preserve"> Hệ thống thông tin</w:t>
      </w:r>
      <w:r w:rsidR="0073562A" w:rsidRPr="0096488C">
        <w:rPr>
          <w:rFonts w:cs="Times New Roman"/>
          <w:spacing w:val="-4"/>
          <w:szCs w:val="28"/>
          <w:lang w:val="vi-VN"/>
        </w:rPr>
        <w:t xml:space="preserve"> quốc gia </w:t>
      </w:r>
      <w:r w:rsidR="0073562A" w:rsidRPr="0096488C">
        <w:rPr>
          <w:rFonts w:cs="Times New Roman"/>
          <w:spacing w:val="-4"/>
          <w:szCs w:val="28"/>
        </w:rPr>
        <w:t>về HTX.</w:t>
      </w:r>
    </w:p>
    <w:p w14:paraId="486E7A15" w14:textId="400244C2" w:rsidR="00170534" w:rsidRPr="0096488C" w:rsidRDefault="00170534" w:rsidP="0096488C">
      <w:pPr>
        <w:spacing w:before="60" w:after="60" w:line="264" w:lineRule="auto"/>
        <w:jc w:val="both"/>
      </w:pPr>
      <w:r w:rsidRPr="0096488C">
        <w:rPr>
          <w:rFonts w:cs="Times New Roman"/>
          <w:szCs w:val="28"/>
          <w:lang w:eastAsia="zh-CN"/>
        </w:rPr>
        <w:tab/>
        <w:t xml:space="preserve">- </w:t>
      </w:r>
      <w:r w:rsidR="00C61F4E" w:rsidRPr="0096488C">
        <w:rPr>
          <w:rFonts w:cs="Times New Roman"/>
          <w:szCs w:val="28"/>
          <w:lang w:eastAsia="zh-CN"/>
        </w:rPr>
        <w:t>Điều 2</w:t>
      </w:r>
      <w:r w:rsidR="00644E86" w:rsidRPr="0096488C">
        <w:rPr>
          <w:rFonts w:cs="Times New Roman"/>
          <w:szCs w:val="28"/>
          <w:lang w:eastAsia="zh-CN"/>
        </w:rPr>
        <w:t>3</w:t>
      </w:r>
      <w:r w:rsidR="00C61F4E" w:rsidRPr="0096488C">
        <w:rPr>
          <w:rFonts w:cs="Times New Roman"/>
          <w:szCs w:val="28"/>
          <w:lang w:eastAsia="zh-CN"/>
        </w:rPr>
        <w:t xml:space="preserve"> dự thảo Nghị định q</w:t>
      </w:r>
      <w:r w:rsidRPr="0096488C">
        <w:rPr>
          <w:rFonts w:cs="Times New Roman"/>
          <w:szCs w:val="28"/>
          <w:lang w:eastAsia="zh-CN"/>
        </w:rPr>
        <w:t xml:space="preserve">uy định trách nhiệm của Ủy ban nhân dân các tỉnh, thành phố trực thuộc trung ương trong việc ban hành chương trình phát triển kinh tế tập thể theo đặc thù của địa phương; </w:t>
      </w:r>
      <w:r w:rsidR="00651F11" w:rsidRPr="0096488C">
        <w:rPr>
          <w:rFonts w:cs="Times New Roman"/>
          <w:szCs w:val="28"/>
        </w:rPr>
        <w:t>thực hiện công khai thông tin hỗ trợ tổ hợp tác, HTX, liên hiệp HTX trên trang thông tin điện tử của mình, đồng thời cung cấp, cập nhật thông tin về hỗ trợ tổ hợp tác, HTX, liên hiệp HTX trên</w:t>
      </w:r>
      <w:r w:rsidR="00651F11" w:rsidRPr="0096488C">
        <w:rPr>
          <w:rFonts w:cs="Times New Roman"/>
          <w:spacing w:val="-4"/>
          <w:szCs w:val="28"/>
        </w:rPr>
        <w:t xml:space="preserve"> Hệ thống thông tin</w:t>
      </w:r>
      <w:r w:rsidR="00651F11" w:rsidRPr="0096488C">
        <w:rPr>
          <w:rFonts w:cs="Times New Roman"/>
          <w:spacing w:val="-4"/>
          <w:szCs w:val="28"/>
          <w:lang w:val="vi-VN"/>
        </w:rPr>
        <w:t xml:space="preserve"> quốc gia </w:t>
      </w:r>
      <w:r w:rsidR="00651F11" w:rsidRPr="0096488C">
        <w:rPr>
          <w:rFonts w:cs="Times New Roman"/>
          <w:spacing w:val="-4"/>
          <w:szCs w:val="28"/>
        </w:rPr>
        <w:t>về HTX</w:t>
      </w:r>
      <w:r w:rsidR="00756BA5" w:rsidRPr="0096488C">
        <w:rPr>
          <w:rFonts w:cs="Times New Roman"/>
          <w:spacing w:val="-4"/>
          <w:szCs w:val="28"/>
        </w:rPr>
        <w:t xml:space="preserve">; </w:t>
      </w:r>
      <w:r w:rsidR="00756BA5" w:rsidRPr="0096488C">
        <w:rPr>
          <w:rFonts w:cs="Times New Roman"/>
          <w:szCs w:val="28"/>
          <w:lang w:eastAsia="zh-CN"/>
        </w:rPr>
        <w:t>thực hiện thanh tra, kiểm tra và xử lý các hành vi vi phạm pháp luật theo quy định</w:t>
      </w:r>
      <w:r w:rsidRPr="0096488C">
        <w:rPr>
          <w:rFonts w:cs="Times New Roman"/>
          <w:szCs w:val="28"/>
          <w:lang w:eastAsia="zh-CN"/>
        </w:rPr>
        <w:t>.</w:t>
      </w:r>
    </w:p>
    <w:p w14:paraId="4D4BBA9D" w14:textId="3214A02B" w:rsidR="001B2B76" w:rsidRPr="0096488C" w:rsidRDefault="000D6878" w:rsidP="0096488C">
      <w:pPr>
        <w:pStyle w:val="Heading4"/>
        <w:spacing w:before="60" w:after="60"/>
        <w:rPr>
          <w:b/>
          <w:lang w:val="en-US"/>
        </w:rPr>
      </w:pPr>
      <w:r w:rsidRPr="0096488C">
        <w:rPr>
          <w:szCs w:val="28"/>
          <w:lang w:val="en-US"/>
        </w:rPr>
        <w:t>2.</w:t>
      </w:r>
      <w:r w:rsidR="001B2B76" w:rsidRPr="0096488C">
        <w:rPr>
          <w:szCs w:val="28"/>
          <w:lang w:val="en-US"/>
        </w:rPr>
        <w:t>6. Chương V</w:t>
      </w:r>
      <w:r w:rsidR="0015612D" w:rsidRPr="0096488C">
        <w:rPr>
          <w:szCs w:val="28"/>
          <w:lang w:val="en-US"/>
        </w:rPr>
        <w:t>I</w:t>
      </w:r>
      <w:r w:rsidR="00206F11" w:rsidRPr="0096488C">
        <w:rPr>
          <w:szCs w:val="28"/>
          <w:lang w:val="en-US"/>
        </w:rPr>
        <w:t xml:space="preserve"> về</w:t>
      </w:r>
      <w:r w:rsidR="001B2B76" w:rsidRPr="0096488C">
        <w:rPr>
          <w:szCs w:val="28"/>
          <w:lang w:val="en-US"/>
        </w:rPr>
        <w:t xml:space="preserve"> Điều khoản thi hành </w:t>
      </w:r>
    </w:p>
    <w:p w14:paraId="7C7A849E" w14:textId="716520A9" w:rsidR="00793548" w:rsidRPr="0096488C" w:rsidRDefault="007E215F" w:rsidP="0096488C">
      <w:pPr>
        <w:pStyle w:val="Heading5"/>
        <w:spacing w:before="60" w:after="60" w:line="264" w:lineRule="auto"/>
        <w:rPr>
          <w:shd w:val="clear" w:color="auto" w:fill="FFFFFF"/>
        </w:rPr>
      </w:pPr>
      <w:r w:rsidRPr="0096488C">
        <w:rPr>
          <w:shd w:val="clear" w:color="auto" w:fill="FFFFFF"/>
        </w:rPr>
        <w:t>2.6.1. V</w:t>
      </w:r>
      <w:r w:rsidR="00793548" w:rsidRPr="0096488C">
        <w:rPr>
          <w:shd w:val="clear" w:color="auto" w:fill="FFFFFF"/>
        </w:rPr>
        <w:t>ề hiệu lực thi hành:</w:t>
      </w:r>
    </w:p>
    <w:p w14:paraId="4C447286" w14:textId="6A3EDB99" w:rsidR="00840344" w:rsidRPr="0096488C" w:rsidRDefault="007E215F" w:rsidP="0096488C">
      <w:pPr>
        <w:pStyle w:val="NormalWeb"/>
        <w:shd w:val="clear" w:color="auto" w:fill="FFFFFF"/>
        <w:spacing w:before="60" w:beforeAutospacing="0" w:after="60" w:afterAutospacing="0" w:line="264" w:lineRule="auto"/>
        <w:ind w:firstLine="720"/>
        <w:jc w:val="both"/>
        <w:rPr>
          <w:sz w:val="28"/>
          <w:szCs w:val="28"/>
          <w:shd w:val="clear" w:color="auto" w:fill="FFFFFF"/>
        </w:rPr>
      </w:pPr>
      <w:r w:rsidRPr="0096488C">
        <w:rPr>
          <w:sz w:val="28"/>
          <w:szCs w:val="28"/>
          <w:shd w:val="clear" w:color="auto" w:fill="FFFFFF"/>
        </w:rPr>
        <w:t xml:space="preserve">- </w:t>
      </w:r>
      <w:r w:rsidR="009A137A" w:rsidRPr="0096488C">
        <w:rPr>
          <w:sz w:val="28"/>
          <w:szCs w:val="28"/>
          <w:shd w:val="clear" w:color="auto" w:fill="FFFFFF"/>
        </w:rPr>
        <w:t>Dự thảo q</w:t>
      </w:r>
      <w:r w:rsidRPr="0096488C">
        <w:rPr>
          <w:sz w:val="28"/>
          <w:szCs w:val="28"/>
          <w:shd w:val="clear" w:color="auto" w:fill="FFFFFF"/>
        </w:rPr>
        <w:t>uy định tại Điều 2</w:t>
      </w:r>
      <w:r w:rsidR="00644E86" w:rsidRPr="0096488C">
        <w:rPr>
          <w:sz w:val="28"/>
          <w:szCs w:val="28"/>
          <w:shd w:val="clear" w:color="auto" w:fill="FFFFFF"/>
        </w:rPr>
        <w:t>4</w:t>
      </w:r>
      <w:r w:rsidR="009A137A" w:rsidRPr="0096488C">
        <w:rPr>
          <w:sz w:val="28"/>
          <w:szCs w:val="28"/>
          <w:shd w:val="clear" w:color="auto" w:fill="FFFFFF"/>
        </w:rPr>
        <w:t>,</w:t>
      </w:r>
      <w:r w:rsidRPr="0096488C">
        <w:rPr>
          <w:sz w:val="28"/>
          <w:szCs w:val="28"/>
          <w:shd w:val="clear" w:color="auto" w:fill="FFFFFF"/>
        </w:rPr>
        <w:t xml:space="preserve"> Nghị định </w:t>
      </w:r>
      <w:r w:rsidR="009A137A" w:rsidRPr="0096488C">
        <w:rPr>
          <w:sz w:val="28"/>
          <w:szCs w:val="28"/>
          <w:shd w:val="clear" w:color="auto" w:fill="FFFFFF"/>
        </w:rPr>
        <w:t>có</w:t>
      </w:r>
      <w:r w:rsidRPr="0096488C">
        <w:rPr>
          <w:sz w:val="28"/>
          <w:szCs w:val="28"/>
          <w:shd w:val="clear" w:color="auto" w:fill="FFFFFF"/>
        </w:rPr>
        <w:t xml:space="preserve"> hiệu lực thi hành kể từ ngày 01/7/2024</w:t>
      </w:r>
      <w:r w:rsidR="009A137A" w:rsidRPr="0096488C">
        <w:rPr>
          <w:sz w:val="28"/>
          <w:szCs w:val="28"/>
          <w:shd w:val="clear" w:color="auto" w:fill="FFFFFF"/>
        </w:rPr>
        <w:t xml:space="preserve"> để</w:t>
      </w:r>
      <w:r w:rsidRPr="0096488C">
        <w:rPr>
          <w:sz w:val="28"/>
          <w:szCs w:val="28"/>
          <w:shd w:val="clear" w:color="auto" w:fill="FFFFFF"/>
        </w:rPr>
        <w:t xml:space="preserve"> đồng bộ với hiệu lực thi hành của Luật H</w:t>
      </w:r>
      <w:r w:rsidR="009A137A" w:rsidRPr="0096488C">
        <w:rPr>
          <w:sz w:val="28"/>
          <w:szCs w:val="28"/>
          <w:shd w:val="clear" w:color="auto" w:fill="FFFFFF"/>
        </w:rPr>
        <w:t>TX năm 2023</w:t>
      </w:r>
      <w:r w:rsidR="001A1194" w:rsidRPr="0096488C">
        <w:rPr>
          <w:sz w:val="28"/>
          <w:szCs w:val="28"/>
          <w:shd w:val="clear" w:color="auto" w:fill="FFFFFF"/>
        </w:rPr>
        <w:t>.</w:t>
      </w:r>
      <w:r w:rsidRPr="0096488C">
        <w:rPr>
          <w:sz w:val="28"/>
          <w:szCs w:val="28"/>
          <w:shd w:val="clear" w:color="auto" w:fill="FFFFFF"/>
        </w:rPr>
        <w:t xml:space="preserve"> </w:t>
      </w:r>
    </w:p>
    <w:p w14:paraId="4BC59B3E" w14:textId="583BFCF1" w:rsidR="009A137A" w:rsidRPr="0096488C" w:rsidRDefault="00840344" w:rsidP="0096488C">
      <w:pPr>
        <w:pStyle w:val="NormalWeb"/>
        <w:shd w:val="clear" w:color="auto" w:fill="FFFFFF"/>
        <w:spacing w:before="60" w:beforeAutospacing="0" w:after="60" w:afterAutospacing="0" w:line="264" w:lineRule="auto"/>
        <w:ind w:firstLine="720"/>
        <w:jc w:val="both"/>
        <w:rPr>
          <w:sz w:val="28"/>
          <w:szCs w:val="28"/>
        </w:rPr>
      </w:pPr>
      <w:r w:rsidRPr="0096488C">
        <w:rPr>
          <w:sz w:val="28"/>
          <w:szCs w:val="28"/>
          <w:shd w:val="clear" w:color="auto" w:fill="FFFFFF"/>
        </w:rPr>
        <w:t xml:space="preserve">- </w:t>
      </w:r>
      <w:r w:rsidR="00C0639D" w:rsidRPr="0096488C">
        <w:rPr>
          <w:sz w:val="28"/>
          <w:szCs w:val="28"/>
          <w:shd w:val="clear" w:color="auto" w:fill="FFFFFF"/>
        </w:rPr>
        <w:t xml:space="preserve">Luật HTX năm 2012 hiện có 02 Nghị định quy định chi tiết, gồm: (1) </w:t>
      </w:r>
      <w:r w:rsidR="00C0639D" w:rsidRPr="0096488C">
        <w:rPr>
          <w:sz w:val="28"/>
          <w:szCs w:val="28"/>
          <w:lang w:val="vi-VN"/>
        </w:rPr>
        <w:t xml:space="preserve">Nghị định số 193/2013/NĐ-CP </w:t>
      </w:r>
      <w:r w:rsidR="00086166" w:rsidRPr="0096488C">
        <w:rPr>
          <w:sz w:val="28"/>
          <w:szCs w:val="28"/>
        </w:rPr>
        <w:t>quy định các vấn đề chung</w:t>
      </w:r>
      <w:r w:rsidR="00684637" w:rsidRPr="0096488C">
        <w:rPr>
          <w:sz w:val="28"/>
          <w:szCs w:val="28"/>
        </w:rPr>
        <w:t xml:space="preserve"> </w:t>
      </w:r>
      <w:r w:rsidR="00086166" w:rsidRPr="0096488C">
        <w:rPr>
          <w:sz w:val="28"/>
          <w:szCs w:val="28"/>
        </w:rPr>
        <w:t>và các quy định về đăng ký kinh doanh đối với HTX, liên hiệp HTX</w:t>
      </w:r>
      <w:r w:rsidR="007347A4" w:rsidRPr="0096488C">
        <w:rPr>
          <w:sz w:val="28"/>
          <w:szCs w:val="28"/>
        </w:rPr>
        <w:t xml:space="preserve"> </w:t>
      </w:r>
      <w:r w:rsidR="00C0639D" w:rsidRPr="0096488C">
        <w:rPr>
          <w:sz w:val="28"/>
          <w:szCs w:val="28"/>
          <w:lang w:val="vi-VN"/>
        </w:rPr>
        <w:t>và</w:t>
      </w:r>
      <w:r w:rsidR="00C0639D" w:rsidRPr="0096488C">
        <w:rPr>
          <w:sz w:val="28"/>
          <w:szCs w:val="28"/>
        </w:rPr>
        <w:t xml:space="preserve"> (2)</w:t>
      </w:r>
      <w:r w:rsidR="00C0639D" w:rsidRPr="0096488C">
        <w:rPr>
          <w:sz w:val="28"/>
          <w:szCs w:val="28"/>
          <w:lang w:val="vi-VN"/>
        </w:rPr>
        <w:t xml:space="preserve"> Nghị định số 107/2017/NĐ-CP</w:t>
      </w:r>
      <w:r w:rsidR="009A137A" w:rsidRPr="0096488C">
        <w:rPr>
          <w:sz w:val="28"/>
          <w:szCs w:val="28"/>
        </w:rPr>
        <w:t xml:space="preserve"> chỉ sửa đổi một số quy định về vấn đề chung tại Nghị định số 193/2013/NĐ-CP</w:t>
      </w:r>
      <w:r w:rsidR="00C0639D" w:rsidRPr="0096488C">
        <w:rPr>
          <w:sz w:val="28"/>
          <w:szCs w:val="28"/>
        </w:rPr>
        <w:t>.</w:t>
      </w:r>
      <w:r w:rsidR="00714AE3" w:rsidRPr="0096488C">
        <w:rPr>
          <w:sz w:val="28"/>
          <w:szCs w:val="28"/>
        </w:rPr>
        <w:t xml:space="preserve"> Trong đó, các nội dung của </w:t>
      </w:r>
      <w:r w:rsidR="00714AE3" w:rsidRPr="0096488C">
        <w:rPr>
          <w:sz w:val="28"/>
          <w:szCs w:val="28"/>
          <w:lang w:val="vi-VN"/>
        </w:rPr>
        <w:t>Nghị định số 193/2013/NĐ-CP</w:t>
      </w:r>
      <w:r w:rsidR="00714AE3" w:rsidRPr="0096488C">
        <w:rPr>
          <w:sz w:val="28"/>
          <w:szCs w:val="28"/>
        </w:rPr>
        <w:t xml:space="preserve"> sẽ được điều chỉnh bởi cả 02 dự thảo Nghị định </w:t>
      </w:r>
      <w:r w:rsidR="00D34F42" w:rsidRPr="0096488C">
        <w:rPr>
          <w:sz w:val="28"/>
          <w:szCs w:val="28"/>
          <w:shd w:val="clear" w:color="auto" w:fill="FFFFFF"/>
        </w:rPr>
        <w:t xml:space="preserve">quy định chi tiết </w:t>
      </w:r>
      <w:r w:rsidR="00714AE3" w:rsidRPr="0096488C">
        <w:rPr>
          <w:sz w:val="28"/>
          <w:szCs w:val="28"/>
          <w:shd w:val="clear" w:color="auto" w:fill="FFFFFF"/>
        </w:rPr>
        <w:t xml:space="preserve">một số điều </w:t>
      </w:r>
      <w:r w:rsidR="00B5209B" w:rsidRPr="0096488C">
        <w:rPr>
          <w:sz w:val="28"/>
          <w:szCs w:val="28"/>
          <w:shd w:val="clear" w:color="auto" w:fill="FFFFFF"/>
        </w:rPr>
        <w:t>của</w:t>
      </w:r>
      <w:r w:rsidR="00714AE3" w:rsidRPr="0096488C">
        <w:rPr>
          <w:sz w:val="28"/>
          <w:szCs w:val="28"/>
          <w:shd w:val="clear" w:color="auto" w:fill="FFFFFF"/>
        </w:rPr>
        <w:t xml:space="preserve"> Luật </w:t>
      </w:r>
      <w:r w:rsidR="00B5209B" w:rsidRPr="0096488C">
        <w:rPr>
          <w:sz w:val="28"/>
          <w:szCs w:val="28"/>
          <w:shd w:val="clear" w:color="auto" w:fill="FFFFFF"/>
        </w:rPr>
        <w:t xml:space="preserve">HTX </w:t>
      </w:r>
      <w:r w:rsidR="00714AE3" w:rsidRPr="0096488C">
        <w:rPr>
          <w:sz w:val="28"/>
          <w:szCs w:val="28"/>
          <w:shd w:val="clear" w:color="auto" w:fill="FFFFFF"/>
        </w:rPr>
        <w:t>và</w:t>
      </w:r>
      <w:r w:rsidR="008D793A" w:rsidRPr="0096488C">
        <w:rPr>
          <w:sz w:val="28"/>
          <w:szCs w:val="28"/>
          <w:shd w:val="clear" w:color="auto" w:fill="FFFFFF"/>
        </w:rPr>
        <w:t xml:space="preserve"> dự thảo</w:t>
      </w:r>
      <w:r w:rsidR="00714AE3" w:rsidRPr="0096488C">
        <w:rPr>
          <w:sz w:val="28"/>
          <w:szCs w:val="28"/>
          <w:shd w:val="clear" w:color="auto" w:fill="FFFFFF"/>
        </w:rPr>
        <w:t xml:space="preserve"> Nghị định về đăng ký tổ hợp tác, HTX, liên hiệp HTX theo Quyết định số 857/QĐ-TTg</w:t>
      </w:r>
      <w:r w:rsidR="009A137A" w:rsidRPr="0096488C">
        <w:rPr>
          <w:sz w:val="28"/>
          <w:szCs w:val="28"/>
          <w:shd w:val="clear" w:color="auto" w:fill="FFFFFF"/>
        </w:rPr>
        <w:t>.</w:t>
      </w:r>
      <w:r w:rsidR="0023426E" w:rsidRPr="0096488C">
        <w:rPr>
          <w:sz w:val="28"/>
          <w:szCs w:val="28"/>
          <w:shd w:val="clear" w:color="auto" w:fill="FFFFFF"/>
        </w:rPr>
        <w:t xml:space="preserve"> Hai </w:t>
      </w:r>
      <w:r w:rsidR="008D793A" w:rsidRPr="0096488C">
        <w:rPr>
          <w:sz w:val="28"/>
          <w:szCs w:val="28"/>
          <w:shd w:val="clear" w:color="auto" w:fill="FFFFFF"/>
        </w:rPr>
        <w:t xml:space="preserve">dự thảo </w:t>
      </w:r>
      <w:r w:rsidR="0023426E" w:rsidRPr="0096488C">
        <w:rPr>
          <w:sz w:val="28"/>
          <w:szCs w:val="28"/>
          <w:shd w:val="clear" w:color="auto" w:fill="FFFFFF"/>
        </w:rPr>
        <w:t>Nghị định này đều yêu cầu phải có hiệu lực cùng với hiệu lực của Luật HTX năm 2023 kể từ ngày 01/7/2024. D</w:t>
      </w:r>
      <w:r w:rsidRPr="0096488C">
        <w:rPr>
          <w:sz w:val="28"/>
          <w:szCs w:val="28"/>
          <w:shd w:val="clear" w:color="auto" w:fill="FFFFFF"/>
        </w:rPr>
        <w:t>o</w:t>
      </w:r>
      <w:r w:rsidR="009A137A" w:rsidRPr="0096488C">
        <w:rPr>
          <w:sz w:val="28"/>
          <w:szCs w:val="28"/>
          <w:shd w:val="clear" w:color="auto" w:fill="FFFFFF"/>
        </w:rPr>
        <w:t xml:space="preserve"> vậy, để bảo đảm</w:t>
      </w:r>
      <w:r w:rsidRPr="0096488C">
        <w:rPr>
          <w:sz w:val="28"/>
          <w:szCs w:val="28"/>
          <w:shd w:val="clear" w:color="auto" w:fill="FFFFFF"/>
        </w:rPr>
        <w:t xml:space="preserve"> </w:t>
      </w:r>
      <w:r w:rsidR="009A137A" w:rsidRPr="0096488C">
        <w:rPr>
          <w:sz w:val="28"/>
          <w:szCs w:val="28"/>
        </w:rPr>
        <w:t xml:space="preserve">bãi bỏ hoàn toàn Nghị định </w:t>
      </w:r>
      <w:r w:rsidR="009A137A" w:rsidRPr="0096488C">
        <w:rPr>
          <w:sz w:val="28"/>
          <w:szCs w:val="28"/>
          <w:lang w:val="vi-VN"/>
        </w:rPr>
        <w:t>số 193/2013/NĐ-CP</w:t>
      </w:r>
      <w:r w:rsidR="0023426E" w:rsidRPr="0096488C">
        <w:rPr>
          <w:sz w:val="28"/>
          <w:szCs w:val="28"/>
        </w:rPr>
        <w:t xml:space="preserve">, cơ quan </w:t>
      </w:r>
      <w:r w:rsidR="00896EC1" w:rsidRPr="0096488C">
        <w:rPr>
          <w:sz w:val="28"/>
          <w:szCs w:val="28"/>
        </w:rPr>
        <w:t xml:space="preserve">chủ trì </w:t>
      </w:r>
      <w:r w:rsidR="0023426E" w:rsidRPr="0096488C">
        <w:rPr>
          <w:sz w:val="28"/>
          <w:szCs w:val="28"/>
        </w:rPr>
        <w:t xml:space="preserve">soạn </w:t>
      </w:r>
      <w:r w:rsidR="0023426E" w:rsidRPr="0096488C">
        <w:rPr>
          <w:sz w:val="28"/>
          <w:szCs w:val="28"/>
        </w:rPr>
        <w:lastRenderedPageBreak/>
        <w:t xml:space="preserve">thảo đề xuất </w:t>
      </w:r>
      <w:r w:rsidR="000664E6" w:rsidRPr="0096488C">
        <w:rPr>
          <w:sz w:val="28"/>
          <w:szCs w:val="28"/>
        </w:rPr>
        <w:t xml:space="preserve">dự thảo Nghị định này sẽ </w:t>
      </w:r>
      <w:r w:rsidR="00684637" w:rsidRPr="0096488C">
        <w:rPr>
          <w:sz w:val="28"/>
          <w:szCs w:val="28"/>
        </w:rPr>
        <w:t>quy định b</w:t>
      </w:r>
      <w:r w:rsidR="008D793A" w:rsidRPr="0096488C">
        <w:rPr>
          <w:sz w:val="28"/>
          <w:szCs w:val="28"/>
        </w:rPr>
        <w:t xml:space="preserve">ãi bỏ toàn bộ Nghị định </w:t>
      </w:r>
      <w:r w:rsidR="008D793A" w:rsidRPr="0096488C">
        <w:rPr>
          <w:sz w:val="28"/>
          <w:szCs w:val="28"/>
          <w:lang w:val="vi-VN"/>
        </w:rPr>
        <w:t>số 193/2013/NĐ-CP</w:t>
      </w:r>
      <w:r w:rsidR="00896EC1" w:rsidRPr="0096488C">
        <w:rPr>
          <w:sz w:val="28"/>
          <w:szCs w:val="28"/>
        </w:rPr>
        <w:t>,</w:t>
      </w:r>
      <w:r w:rsidR="004061E6" w:rsidRPr="0096488C">
        <w:rPr>
          <w:sz w:val="28"/>
          <w:szCs w:val="28"/>
        </w:rPr>
        <w:t xml:space="preserve"> </w:t>
      </w:r>
      <w:r w:rsidR="00896EC1" w:rsidRPr="0096488C">
        <w:rPr>
          <w:sz w:val="28"/>
          <w:szCs w:val="28"/>
        </w:rPr>
        <w:t>mà không</w:t>
      </w:r>
      <w:r w:rsidR="008D793A" w:rsidRPr="0096488C">
        <w:rPr>
          <w:sz w:val="28"/>
          <w:szCs w:val="28"/>
        </w:rPr>
        <w:t xml:space="preserve"> bãi bỏ từng phần Nghị định </w:t>
      </w:r>
      <w:r w:rsidR="008D793A" w:rsidRPr="0096488C">
        <w:rPr>
          <w:sz w:val="28"/>
          <w:szCs w:val="28"/>
          <w:lang w:val="vi-VN"/>
        </w:rPr>
        <w:t>số 193/2013/NĐ-CP</w:t>
      </w:r>
      <w:r w:rsidR="008D793A" w:rsidRPr="0096488C">
        <w:rPr>
          <w:sz w:val="28"/>
          <w:szCs w:val="28"/>
        </w:rPr>
        <w:t xml:space="preserve"> tại cả 02 dự thảo Nghị định</w:t>
      </w:r>
      <w:r w:rsidR="000664E6" w:rsidRPr="0096488C">
        <w:rPr>
          <w:sz w:val="28"/>
          <w:szCs w:val="28"/>
        </w:rPr>
        <w:t xml:space="preserve"> hướng dẫn Luật HTX năm 2023</w:t>
      </w:r>
      <w:r w:rsidR="006E353B" w:rsidRPr="0096488C">
        <w:rPr>
          <w:sz w:val="28"/>
          <w:szCs w:val="28"/>
        </w:rPr>
        <w:t>,</w:t>
      </w:r>
      <w:r w:rsidR="000664E6" w:rsidRPr="0096488C">
        <w:rPr>
          <w:sz w:val="28"/>
          <w:szCs w:val="28"/>
        </w:rPr>
        <w:t xml:space="preserve"> và</w:t>
      </w:r>
      <w:r w:rsidR="009A137A" w:rsidRPr="0096488C">
        <w:rPr>
          <w:sz w:val="28"/>
          <w:szCs w:val="28"/>
          <w:shd w:val="clear" w:color="auto" w:fill="FFFFFF"/>
        </w:rPr>
        <w:t xml:space="preserve"> </w:t>
      </w:r>
      <w:r w:rsidR="000664E6" w:rsidRPr="0096488C">
        <w:rPr>
          <w:sz w:val="28"/>
          <w:szCs w:val="28"/>
          <w:shd w:val="clear" w:color="auto" w:fill="FFFFFF"/>
        </w:rPr>
        <w:t>b</w:t>
      </w:r>
      <w:r w:rsidR="009A137A" w:rsidRPr="0096488C">
        <w:rPr>
          <w:sz w:val="28"/>
          <w:szCs w:val="28"/>
          <w:shd w:val="clear" w:color="auto" w:fill="FFFFFF"/>
        </w:rPr>
        <w:t xml:space="preserve">ãi bỏ </w:t>
      </w:r>
      <w:r w:rsidR="000664E6" w:rsidRPr="0096488C">
        <w:rPr>
          <w:sz w:val="28"/>
          <w:szCs w:val="28"/>
          <w:shd w:val="clear" w:color="auto" w:fill="FFFFFF"/>
        </w:rPr>
        <w:t xml:space="preserve">Nghị định </w:t>
      </w:r>
      <w:r w:rsidR="000664E6" w:rsidRPr="0096488C">
        <w:rPr>
          <w:sz w:val="28"/>
          <w:szCs w:val="28"/>
          <w:lang w:val="vi-VN"/>
        </w:rPr>
        <w:t>số 107/2017/NĐ-CP</w:t>
      </w:r>
      <w:r w:rsidR="000664E6" w:rsidRPr="0096488C">
        <w:rPr>
          <w:sz w:val="28"/>
          <w:szCs w:val="28"/>
        </w:rPr>
        <w:t>.</w:t>
      </w:r>
    </w:p>
    <w:p w14:paraId="41741A7F" w14:textId="0E4C095D" w:rsidR="00896EC1" w:rsidRPr="0096488C" w:rsidRDefault="00896EC1" w:rsidP="0096488C">
      <w:pPr>
        <w:pStyle w:val="NormalWeb"/>
        <w:shd w:val="clear" w:color="auto" w:fill="FFFFFF"/>
        <w:spacing w:before="60" w:beforeAutospacing="0" w:after="60" w:afterAutospacing="0" w:line="264" w:lineRule="auto"/>
        <w:ind w:firstLine="720"/>
        <w:jc w:val="both"/>
        <w:rPr>
          <w:sz w:val="28"/>
          <w:szCs w:val="28"/>
          <w:shd w:val="clear" w:color="auto" w:fill="FFFFFF"/>
        </w:rPr>
      </w:pPr>
      <w:r w:rsidRPr="0096488C">
        <w:rPr>
          <w:sz w:val="28"/>
          <w:szCs w:val="28"/>
        </w:rPr>
        <w:t xml:space="preserve">- Do Hệ </w:t>
      </w:r>
      <w:r w:rsidR="008C6228" w:rsidRPr="0096488C">
        <w:rPr>
          <w:sz w:val="28"/>
          <w:szCs w:val="28"/>
        </w:rPr>
        <w:t xml:space="preserve">thống thông tin quốc gia về </w:t>
      </w:r>
      <w:r w:rsidR="008309B7" w:rsidRPr="0096488C">
        <w:rPr>
          <w:sz w:val="28"/>
          <w:szCs w:val="28"/>
        </w:rPr>
        <w:t>HTX</w:t>
      </w:r>
      <w:r w:rsidR="008C6228" w:rsidRPr="0096488C">
        <w:rPr>
          <w:sz w:val="28"/>
          <w:szCs w:val="28"/>
        </w:rPr>
        <w:t xml:space="preserve"> đang được Bộ Kế hoạch và Đầu tư nghiên cứu xây dựng, hoàn thiện</w:t>
      </w:r>
      <w:r w:rsidR="004061E6" w:rsidRPr="0096488C">
        <w:rPr>
          <w:sz w:val="28"/>
          <w:szCs w:val="28"/>
        </w:rPr>
        <w:t xml:space="preserve"> thống nhất từ Trung ương đến địa phương</w:t>
      </w:r>
      <w:r w:rsidR="008C6228" w:rsidRPr="0096488C">
        <w:rPr>
          <w:sz w:val="28"/>
          <w:szCs w:val="28"/>
        </w:rPr>
        <w:t>, vì vậy dự thảo Nghị định quy định tại điều khoản thi hành</w:t>
      </w:r>
      <w:r w:rsidR="00480B2D" w:rsidRPr="0096488C">
        <w:rPr>
          <w:sz w:val="28"/>
          <w:szCs w:val="28"/>
        </w:rPr>
        <w:t xml:space="preserve"> t</w:t>
      </w:r>
      <w:r w:rsidR="00480B2D" w:rsidRPr="0096488C">
        <w:rPr>
          <w:sz w:val="28"/>
          <w:szCs w:val="28"/>
          <w:lang w:val="vi-VN"/>
        </w:rPr>
        <w:t xml:space="preserve">rong thời gian </w:t>
      </w:r>
      <w:r w:rsidR="00480B2D" w:rsidRPr="0096488C">
        <w:rPr>
          <w:sz w:val="28"/>
          <w:szCs w:val="28"/>
        </w:rPr>
        <w:t xml:space="preserve">Hệ thống thông tin quốc gia về </w:t>
      </w:r>
      <w:r w:rsidR="008309B7" w:rsidRPr="0096488C">
        <w:rPr>
          <w:sz w:val="28"/>
          <w:szCs w:val="28"/>
        </w:rPr>
        <w:t>HTX</w:t>
      </w:r>
      <w:r w:rsidR="00480B2D" w:rsidRPr="0096488C">
        <w:rPr>
          <w:sz w:val="28"/>
          <w:szCs w:val="28"/>
        </w:rPr>
        <w:t xml:space="preserve"> chưa vận hành, </w:t>
      </w:r>
      <w:r w:rsidR="00C259DF" w:rsidRPr="0096488C">
        <w:rPr>
          <w:sz w:val="28"/>
          <w:szCs w:val="28"/>
        </w:rPr>
        <w:t>việc</w:t>
      </w:r>
      <w:r w:rsidR="00480B2D" w:rsidRPr="0096488C">
        <w:rPr>
          <w:sz w:val="28"/>
          <w:szCs w:val="28"/>
        </w:rPr>
        <w:t xml:space="preserve"> báo cáo, cung cấp, cập nhật trên Hệ thống này được thực hiện thông qua các hình thức văn bản giấy hoặc gửi thư điện tử đến Bộ Kế hoạch và Đầu tư, Bộ Tài chính theo quy định tại Nghị định</w:t>
      </w:r>
      <w:r w:rsidR="00456A00" w:rsidRPr="0096488C">
        <w:rPr>
          <w:sz w:val="28"/>
          <w:szCs w:val="28"/>
          <w:shd w:val="clear" w:color="auto" w:fill="FFFFFF"/>
        </w:rPr>
        <w:t>.</w:t>
      </w:r>
    </w:p>
    <w:p w14:paraId="459A0443" w14:textId="42E01A55" w:rsidR="007E215F" w:rsidRPr="0096488C" w:rsidRDefault="007E215F" w:rsidP="0096488C">
      <w:pPr>
        <w:pStyle w:val="Heading5"/>
        <w:spacing w:before="60" w:after="60" w:line="264" w:lineRule="auto"/>
        <w:rPr>
          <w:shd w:val="clear" w:color="auto" w:fill="FFFFFF"/>
        </w:rPr>
      </w:pPr>
      <w:r w:rsidRPr="0096488C">
        <w:rPr>
          <w:shd w:val="clear" w:color="auto" w:fill="FFFFFF"/>
        </w:rPr>
        <w:t>2.6.2. Về điều khoản chuyển tiếp</w:t>
      </w:r>
      <w:r w:rsidR="00896EC1" w:rsidRPr="0096488C">
        <w:rPr>
          <w:shd w:val="clear" w:color="auto" w:fill="FFFFFF"/>
        </w:rPr>
        <w:t>:</w:t>
      </w:r>
    </w:p>
    <w:p w14:paraId="7A8D5865" w14:textId="4245D048" w:rsidR="009553B6" w:rsidRPr="0096488C" w:rsidRDefault="009553B6">
      <w:pPr>
        <w:spacing w:before="60" w:after="60" w:line="264" w:lineRule="auto"/>
        <w:ind w:firstLine="720"/>
        <w:jc w:val="both"/>
        <w:rPr>
          <w:lang w:val="en-GB" w:eastAsia="x-none"/>
        </w:rPr>
      </w:pPr>
      <w:r w:rsidRPr="0096488C">
        <w:rPr>
          <w:lang w:val="en-GB" w:eastAsia="x-none"/>
        </w:rPr>
        <w:t xml:space="preserve">Theo </w:t>
      </w:r>
      <w:r w:rsidRPr="0096488C">
        <w:rPr>
          <w:lang w:val="pt-BR"/>
        </w:rPr>
        <w:t>Nghị quyết số 09/NQ-CP ngày 02/02/2023 của Chính phủ Ban hành Ch</w:t>
      </w:r>
      <w:r w:rsidRPr="0096488C">
        <w:rPr>
          <w:rFonts w:hint="eastAsia"/>
          <w:lang w:val="pt-BR"/>
        </w:rPr>
        <w:t>ươ</w:t>
      </w:r>
      <w:r w:rsidRPr="0096488C">
        <w:rPr>
          <w:lang w:val="pt-BR"/>
        </w:rPr>
        <w:t xml:space="preserve">ng trình hành </w:t>
      </w:r>
      <w:r w:rsidRPr="0096488C">
        <w:rPr>
          <w:rFonts w:hint="eastAsia"/>
          <w:lang w:val="pt-BR"/>
        </w:rPr>
        <w:t>đ</w:t>
      </w:r>
      <w:r w:rsidRPr="0096488C">
        <w:rPr>
          <w:lang w:val="pt-BR"/>
        </w:rPr>
        <w:t>ộng của Chính phủ thực hiện Nghị quyết số 20-NQ/TW ngày 16/6/2022, Bộ Kế hoạch và Đầu tư được giao nhiệm vụ nghiên cứu sửa đổi, bổ sung Chương trình hỗ trợ phát triển kinh tế tập thể, hợp tác xã giai đoạn 2021 – 2025 (Quyết định số 1804/QĐ-TTg ngày</w:t>
      </w:r>
      <w:r w:rsidRPr="0096488C">
        <w:t xml:space="preserve"> 13/11/2020 của Thủ tướng Chính phủ). Tuy nhiên, </w:t>
      </w:r>
      <w:r w:rsidRPr="0096488C">
        <w:rPr>
          <w:lang w:val="en-GB" w:eastAsia="x-none"/>
        </w:rPr>
        <w:t xml:space="preserve">qua tổng hợp báo cáo từ các bộ, ngành và địa phương, Bộ Kế hoạch và Đầu tư nhận thấy các nội dung phải sửa đổi bổ sung không nhiều; các nội dung đề xuất sửa đổi không lớn, mang tính kỹ thuật; một số đề xuất chỉ có thể được tiếp thu khi Luật HTX năm 2023 có hiệu lực (01/7/2024); một số đề xuất quy định đặc thù không thuộc thẩm quyền của Thủ tướng Chính phủ; nhiều đề xuất thuộc phạm vi, thẩm quyền của chính quyền địa phương. Do đó, Bộ Kế hoạch và Đầu tư kiến nghị không ban hành Quyết định sửa đổi, bổ sung </w:t>
      </w:r>
      <w:r w:rsidRPr="0096488C">
        <w:rPr>
          <w:lang w:val="pt-BR"/>
        </w:rPr>
        <w:t>Quyết định số 1804/QĐ-TTg ngày</w:t>
      </w:r>
      <w:r w:rsidRPr="0096488C">
        <w:t xml:space="preserve"> 13/11/2020 của Thủ tướng Chính phủ, </w:t>
      </w:r>
      <w:r w:rsidRPr="0096488C">
        <w:rPr>
          <w:lang w:val="en-GB" w:eastAsia="x-none"/>
        </w:rPr>
        <w:t>tổng hợp các kiến nghị phù hợp với Luật HTX năm 2023 trong Dự thảo Nghị định này và quy định điều khoản chuyển tiếp đối với Quyết định số 1804/QĐ-TTg để áp dụng đến hết 31/12/2025 (theo khoản 5 Điều 115 về điều khoản chuyển tiếp của Luật HTX năm 2023, các chính sách theo Quyết định số 1804/QĐ-TTg tiếp tục hiệu lực đến hết năm 2025).</w:t>
      </w:r>
    </w:p>
    <w:p w14:paraId="30E82C82" w14:textId="2EDEABDC" w:rsidR="007F30FA" w:rsidRPr="0096488C" w:rsidRDefault="0058760E" w:rsidP="0096488C">
      <w:pPr>
        <w:pStyle w:val="Heading5"/>
        <w:spacing w:before="60" w:after="60" w:line="264" w:lineRule="auto"/>
        <w:rPr>
          <w:lang w:val="de-DE"/>
        </w:rPr>
      </w:pPr>
      <w:r w:rsidRPr="0096488C">
        <w:rPr>
          <w:lang w:val="de-DE"/>
        </w:rPr>
        <w:t>2.</w:t>
      </w:r>
      <w:r w:rsidR="007F30FA" w:rsidRPr="0096488C">
        <w:rPr>
          <w:lang w:val="de-DE"/>
        </w:rPr>
        <w:t>6.</w:t>
      </w:r>
      <w:r w:rsidRPr="0096488C">
        <w:rPr>
          <w:lang w:val="de-DE"/>
        </w:rPr>
        <w:t>3</w:t>
      </w:r>
      <w:r w:rsidR="00562CED" w:rsidRPr="0096488C">
        <w:rPr>
          <w:lang w:val="de-DE"/>
        </w:rPr>
        <w:t xml:space="preserve">. Về sửa đổi, bổ sung một số điều, khoản của </w:t>
      </w:r>
      <w:r w:rsidR="00562CED" w:rsidRPr="0096488C">
        <w:t>Nghị định số 77/2019/NĐ-CP ngày 10 tháng 10 năm 2019 của Chính phủ về tổ hợp tác</w:t>
      </w:r>
    </w:p>
    <w:p w14:paraId="56003351" w14:textId="14CEF4D3" w:rsidR="007F30FA" w:rsidRPr="0096488C" w:rsidRDefault="007F30FA" w:rsidP="0096488C">
      <w:pPr>
        <w:pStyle w:val="Noidung"/>
        <w:spacing w:before="60" w:after="60" w:line="264" w:lineRule="auto"/>
      </w:pPr>
      <w:r w:rsidRPr="0096488C">
        <w:t xml:space="preserve">- </w:t>
      </w:r>
      <w:r w:rsidRPr="0096488C">
        <w:rPr>
          <w:rStyle w:val="NoidungChar"/>
        </w:rPr>
        <w:t>Luật HTX năm 2023 đã bổ sung đối tượng tổ hợp tác điều chỉnh tại Luật, trong đó có quy định rõ nội dung về phần vốn góp và mức độ góp sức lao động của các thành viên tổ hợp tác tại Điều 4 về giải thích từ ngữ; về nguyên tắc tổ chức, hoạt động của tổ hợp tác tại Điều 8; về tiêu chí thụ hưởng chính sách tại khoản 2 và 3 Điều 18; về đối tượng tổ hợp tác có góp vốn và hợp đồng hợp tác không có thời hạn hoặc thời hạn từ 12 tháng trở lên phải đăng ký và về quyền, nghĩa vụ của tổ hợp tác tại Điều 107. Đồng thời Luật HTX 2023 cũng áp dụng nguyên tắc trao quyền quyết định cho các HTX, liên hiệp HTX</w:t>
      </w:r>
      <w:r w:rsidRPr="0096488C">
        <w:t xml:space="preserve"> đối với tài sản chung không chia hình thành từ tích lũy, do các thành viên đóng góp của HTX, </w:t>
      </w:r>
      <w:r w:rsidRPr="0096488C">
        <w:lastRenderedPageBreak/>
        <w:t>liên hiệp HTX khi giải thể, phá sản</w:t>
      </w:r>
      <w:r w:rsidR="00B84EA3" w:rsidRPr="0096488C">
        <w:t xml:space="preserve"> để bảo đảm quyền về thu nhập, tài sản hợp pháp của các tổ chức, cá nhân theo quy định của Hiến pháp</w:t>
      </w:r>
      <w:r w:rsidRPr="0096488C">
        <w:t xml:space="preserve">. </w:t>
      </w:r>
    </w:p>
    <w:p w14:paraId="60BD9E30" w14:textId="3920B92B" w:rsidR="007F30FA" w:rsidRPr="0096488C" w:rsidRDefault="007F30FA" w:rsidP="0096488C">
      <w:pPr>
        <w:pStyle w:val="Noidung"/>
        <w:spacing w:before="60" w:after="60" w:line="264" w:lineRule="auto"/>
        <w:rPr>
          <w:kern w:val="28"/>
          <w:lang w:val="pt-BR"/>
        </w:rPr>
      </w:pPr>
      <w:r w:rsidRPr="0096488C">
        <w:t xml:space="preserve">- Nghị định số 77/2019/NĐ-CP đang quy định về thành lập, tổ chức và hoạt động cho tất cả các loại hình tổ hợp tác, trong đó </w:t>
      </w:r>
      <w:r w:rsidRPr="0096488C">
        <w:rPr>
          <w:kern w:val="28"/>
          <w:lang w:val="pt-BR"/>
        </w:rPr>
        <w:t>tổ hợp tác không phải thực hiện đăng ký tại cơ quan đăng ký kinh doanh, mà chỉ cần thông báo đến Ủy ban nhân dân cấp xã nơi đặt trụ sở giao dịch của tổ hợp tác.</w:t>
      </w:r>
      <w:r w:rsidR="0094088F" w:rsidRPr="0096488C">
        <w:rPr>
          <w:kern w:val="28"/>
          <w:lang w:val="pt-BR"/>
        </w:rPr>
        <w:t xml:space="preserve"> </w:t>
      </w:r>
    </w:p>
    <w:p w14:paraId="3426A345" w14:textId="1C10EA7D" w:rsidR="00CF1946" w:rsidRPr="0096488C" w:rsidRDefault="00D66D72" w:rsidP="0096488C">
      <w:pPr>
        <w:pStyle w:val="Noidung"/>
        <w:spacing w:before="60" w:after="60" w:line="264" w:lineRule="auto"/>
      </w:pPr>
      <w:r w:rsidRPr="0096488C">
        <w:rPr>
          <w:kern w:val="28"/>
          <w:lang w:val="pt-BR"/>
        </w:rPr>
        <w:t>Như vậy, với quy định của Luật HTX năm 2023 có hai loại hình tổ hợp tác, gồm: (1) tổ hợp tác có đăng ký tại cơ quan đăng ký kinh doanh và (2) tổ hợp tác không đăng ký kinh doanh.</w:t>
      </w:r>
      <w:r w:rsidR="00BF3344" w:rsidRPr="0096488C">
        <w:t xml:space="preserve"> Về cơ bản, Luật HTX năm 2023 chỉ tác động nhiều đến vấn đề đăng ký </w:t>
      </w:r>
      <w:r w:rsidR="00EC70AF" w:rsidRPr="0096488C">
        <w:t>của tổ hợp tác thuộc diện phải đăng ký</w:t>
      </w:r>
      <w:r w:rsidR="00615283" w:rsidRPr="0096488C">
        <w:t>,</w:t>
      </w:r>
      <w:r w:rsidR="00BF3344" w:rsidRPr="0096488C">
        <w:t xml:space="preserve"> </w:t>
      </w:r>
      <w:r w:rsidR="00767586" w:rsidRPr="0096488C">
        <w:t xml:space="preserve">quyền tiếp cận </w:t>
      </w:r>
      <w:r w:rsidR="00BF3344" w:rsidRPr="0096488C">
        <w:t xml:space="preserve">chính sách </w:t>
      </w:r>
      <w:r w:rsidR="00767586" w:rsidRPr="0096488C">
        <w:t xml:space="preserve">hỗ trợ </w:t>
      </w:r>
      <w:r w:rsidR="00BF3344" w:rsidRPr="0096488C">
        <w:t xml:space="preserve">của Nhà nước </w:t>
      </w:r>
      <w:r w:rsidR="00615283" w:rsidRPr="0096488C">
        <w:t>và việc xử lý tài sản chung của tổ hợp tác do các cá nhân, tổ chức cho, tặng, tài trợ hợp pháp nhưng tổ hợp tác không được quyền định đoạt khi tổ hợp tác chấm dứt hoạt động;</w:t>
      </w:r>
      <w:r w:rsidR="00BF3344" w:rsidRPr="0096488C">
        <w:t xml:space="preserve"> các quy định khác của Nghị định số 77/2019/NĐ-CP cơ bản vẫn phù hợp. </w:t>
      </w:r>
    </w:p>
    <w:p w14:paraId="76118805" w14:textId="6D27DFE0" w:rsidR="00E03874" w:rsidRPr="0096488C" w:rsidRDefault="00BF3344" w:rsidP="0096488C">
      <w:pPr>
        <w:pStyle w:val="Noidung"/>
        <w:spacing w:before="60" w:after="60" w:line="264" w:lineRule="auto"/>
        <w:rPr>
          <w:rFonts w:eastAsiaTheme="minorHAnsi" w:cstheme="minorBidi"/>
          <w:lang w:val="it-IT"/>
        </w:rPr>
      </w:pPr>
      <w:r w:rsidRPr="0096488C">
        <w:t>Do</w:t>
      </w:r>
      <w:r w:rsidR="007F30FA" w:rsidRPr="0096488C">
        <w:t xml:space="preserve"> vậy, </w:t>
      </w:r>
      <w:r w:rsidRPr="0096488C">
        <w:t xml:space="preserve">để bảo đảm tính ổn định của văn bản quy phạm pháp luật, tạo thuận lợi cho các </w:t>
      </w:r>
      <w:r w:rsidR="00B71CE7" w:rsidRPr="0096488C">
        <w:t>tổ hợp tác trong quá trình hoạt động,</w:t>
      </w:r>
      <w:r w:rsidRPr="0096488C">
        <w:t xml:space="preserve"> </w:t>
      </w:r>
      <w:r w:rsidR="00BC6216" w:rsidRPr="0096488C">
        <w:t xml:space="preserve">bảo đảm thống nhất, phù hợp với quy định của Luật HTX năm 2023, </w:t>
      </w:r>
      <w:r w:rsidR="007F30FA" w:rsidRPr="0096488C">
        <w:t>dự thảo Nghị định n</w:t>
      </w:r>
      <w:r w:rsidR="00B71CE7" w:rsidRPr="0096488C">
        <w:t>à</w:t>
      </w:r>
      <w:r w:rsidR="007F30FA" w:rsidRPr="0096488C">
        <w:t>y</w:t>
      </w:r>
      <w:r w:rsidR="00B71CE7" w:rsidRPr="0096488C">
        <w:t xml:space="preserve"> chỉ thực hiện</w:t>
      </w:r>
      <w:r w:rsidR="007F30FA" w:rsidRPr="0096488C">
        <w:t xml:space="preserve"> sửa đổi, bổ sung</w:t>
      </w:r>
      <w:r w:rsidR="00B71CE7" w:rsidRPr="0096488C">
        <w:t xml:space="preserve"> một số</w:t>
      </w:r>
      <w:r w:rsidR="007F30FA" w:rsidRPr="0096488C">
        <w:t xml:space="preserve"> quy định </w:t>
      </w:r>
      <w:r w:rsidR="00EC70AF" w:rsidRPr="0096488C">
        <w:t>liên quan</w:t>
      </w:r>
      <w:r w:rsidR="00D34F42" w:rsidRPr="0096488C">
        <w:t>:</w:t>
      </w:r>
      <w:r w:rsidR="007F30FA" w:rsidRPr="0096488C">
        <w:t xml:space="preserve"> </w:t>
      </w:r>
      <w:r w:rsidR="00D34F42" w:rsidRPr="0096488C">
        <w:t xml:space="preserve">(1) </w:t>
      </w:r>
      <w:r w:rsidR="00EC70AF" w:rsidRPr="0096488C">
        <w:t>quyền tiếp cận đối với chính sách hỗ trợ của Nhà nước khi có Giấy chứng nhận đăng ký tổ hợp tác và đáp ứng các tiêu chí khác theo quy định của Luật HTX 2023</w:t>
      </w:r>
      <w:r w:rsidR="00464668" w:rsidRPr="0096488C">
        <w:t>, Điều 6 Nghị định này</w:t>
      </w:r>
      <w:r w:rsidR="00D34F42" w:rsidRPr="0096488C">
        <w:t>; (2)</w:t>
      </w:r>
      <w:r w:rsidR="00EC70AF" w:rsidRPr="0096488C">
        <w:t xml:space="preserve"> nghĩa vụ </w:t>
      </w:r>
      <w:r w:rsidR="00EC70AF" w:rsidRPr="0096488C">
        <w:rPr>
          <w:szCs w:val="28"/>
        </w:rPr>
        <w:t>công khai thông tin sổ ghi chép về việc đóng góp của thành viên và các thông tin khác theo quy định của hợp đồng hợp tác</w:t>
      </w:r>
      <w:r w:rsidR="00D34F42" w:rsidRPr="0096488C">
        <w:rPr>
          <w:szCs w:val="28"/>
        </w:rPr>
        <w:t>;</w:t>
      </w:r>
      <w:r w:rsidR="00EC70AF" w:rsidRPr="0096488C">
        <w:t xml:space="preserve"> </w:t>
      </w:r>
      <w:r w:rsidR="00D34F42" w:rsidRPr="0096488C">
        <w:t xml:space="preserve">(3) </w:t>
      </w:r>
      <w:r w:rsidR="00CF1946" w:rsidRPr="0096488C">
        <w:t xml:space="preserve">việc </w:t>
      </w:r>
      <w:r w:rsidR="007F30FA" w:rsidRPr="0096488C">
        <w:t>xử lý tài sản chung</w:t>
      </w:r>
      <w:r w:rsidR="00EC70AF" w:rsidRPr="0096488C">
        <w:t xml:space="preserve"> có nguồn hình thành từ cho, tặng, tài trợ hợp pháp của cá nhân, tổ chức </w:t>
      </w:r>
      <w:r w:rsidR="003D0922" w:rsidRPr="0096488C">
        <w:t xml:space="preserve">khác </w:t>
      </w:r>
      <w:r w:rsidR="00D34F42" w:rsidRPr="0096488C">
        <w:t xml:space="preserve">khi chấm dứt hoạt động của các tổ hợp tác thì </w:t>
      </w:r>
      <w:r w:rsidR="00CF1946" w:rsidRPr="0096488C">
        <w:t>theo thỏa thuận giữa tổ hợp tác với cá nhân, tổ chức đó</w:t>
      </w:r>
      <w:r w:rsidR="00D34F42" w:rsidRPr="0096488C">
        <w:t>; (4)</w:t>
      </w:r>
      <w:r w:rsidR="00CF1946" w:rsidRPr="0096488C">
        <w:t xml:space="preserve"> </w:t>
      </w:r>
      <w:r w:rsidR="00D34F42" w:rsidRPr="0096488C">
        <w:t>p</w:t>
      </w:r>
      <w:r w:rsidR="00CF1946" w:rsidRPr="0096488C">
        <w:rPr>
          <w:lang w:val="vi-VN"/>
        </w:rPr>
        <w:t>hần đóng góp của một thành viên tổ h</w:t>
      </w:r>
      <w:r w:rsidR="00CF1946" w:rsidRPr="0096488C">
        <w:t>ợ</w:t>
      </w:r>
      <w:r w:rsidR="00CF1946" w:rsidRPr="0096488C">
        <w:rPr>
          <w:lang w:val="vi-VN"/>
        </w:rPr>
        <w:t xml:space="preserve">p tác </w:t>
      </w:r>
      <w:r w:rsidR="00CF1946" w:rsidRPr="0096488C">
        <w:t>gồm</w:t>
      </w:r>
      <w:r w:rsidR="00CF1946" w:rsidRPr="0096488C">
        <w:rPr>
          <w:lang w:val="vi-VN"/>
        </w:rPr>
        <w:t xml:space="preserve"> </w:t>
      </w:r>
      <w:r w:rsidR="00CF1946" w:rsidRPr="0096488C">
        <w:t>phần vốn góp theo quy định tại khoản 12 Điều 4 Luật H</w:t>
      </w:r>
      <w:r w:rsidR="00464668" w:rsidRPr="0096488C">
        <w:t>TX</w:t>
      </w:r>
      <w:r w:rsidR="00CF1946" w:rsidRPr="0096488C">
        <w:t xml:space="preserve"> và mức độ góp sức lao động theo quy định tại khoản 10 Điều 4 Luật H</w:t>
      </w:r>
      <w:r w:rsidR="00464668" w:rsidRPr="0096488C">
        <w:t>TX</w:t>
      </w:r>
      <w:r w:rsidR="00C72AB3" w:rsidRPr="0096488C">
        <w:t>; đồng thời b</w:t>
      </w:r>
      <w:r w:rsidR="00CD1A9B" w:rsidRPr="0096488C">
        <w:rPr>
          <w:rFonts w:eastAsiaTheme="minorHAnsi" w:cstheme="minorBidi"/>
          <w:lang w:val="it-IT"/>
        </w:rPr>
        <w:t>ãi bỏ một số điều khoản</w:t>
      </w:r>
      <w:r w:rsidR="00C72AB3" w:rsidRPr="0096488C">
        <w:rPr>
          <w:rFonts w:eastAsiaTheme="minorHAnsi" w:cstheme="minorBidi"/>
          <w:lang w:val="it-IT"/>
        </w:rPr>
        <w:t xml:space="preserve"> có liên quan</w:t>
      </w:r>
      <w:r w:rsidR="00CD1A9B" w:rsidRPr="0096488C">
        <w:rPr>
          <w:rFonts w:eastAsiaTheme="minorHAnsi" w:cstheme="minorBidi"/>
          <w:lang w:val="it-IT"/>
        </w:rPr>
        <w:t xml:space="preserve"> của Nghị định </w:t>
      </w:r>
      <w:r w:rsidR="003D0922" w:rsidRPr="0096488C">
        <w:rPr>
          <w:rFonts w:eastAsiaTheme="minorHAnsi" w:cstheme="minorBidi"/>
          <w:lang w:val="it-IT"/>
        </w:rPr>
        <w:t xml:space="preserve">số </w:t>
      </w:r>
      <w:r w:rsidR="00CD1A9B" w:rsidRPr="0096488C">
        <w:rPr>
          <w:rFonts w:eastAsiaTheme="minorHAnsi" w:cstheme="minorBidi"/>
          <w:lang w:val="it-IT"/>
        </w:rPr>
        <w:t>77/2019/NĐ-CP gồm: khoản 1 và 3 Điều 3, Điều 4, khoản 6 Điều 29.</w:t>
      </w:r>
      <w:r w:rsidR="008E4783" w:rsidRPr="0096488C">
        <w:rPr>
          <w:rFonts w:eastAsiaTheme="minorHAnsi" w:cstheme="minorBidi"/>
          <w:lang w:val="it-IT"/>
        </w:rPr>
        <w:t xml:space="preserve"> </w:t>
      </w:r>
    </w:p>
    <w:p w14:paraId="70228E38" w14:textId="0E0BCF04" w:rsidR="00CD1A9B" w:rsidRPr="0096488C" w:rsidRDefault="008E4783" w:rsidP="0096488C">
      <w:pPr>
        <w:pStyle w:val="Noidung"/>
        <w:spacing w:before="60" w:after="60" w:line="264" w:lineRule="auto"/>
        <w:rPr>
          <w:lang w:val="it-IT"/>
        </w:rPr>
      </w:pPr>
      <w:r w:rsidRPr="0096488C">
        <w:rPr>
          <w:rFonts w:eastAsiaTheme="minorHAnsi" w:cstheme="minorBidi"/>
          <w:lang w:val="it-IT"/>
        </w:rPr>
        <w:t>Sau khi Nghị định này được ban hành, sẽ thực hiện việc hợp nhất các nội dung có liên quan đến tổ hợp tác tại Nghị định này và Nghị định số 77/2019/NĐ-CP để các tổ hợp tác, cá nhân, tổ chức có liên quan thuận tiện trong quá trình tra cứu, sử dụng.</w:t>
      </w:r>
    </w:p>
    <w:p w14:paraId="4C1D4327" w14:textId="258E3B2B" w:rsidR="00BC5080" w:rsidRPr="0096488C" w:rsidRDefault="00BC5080" w:rsidP="0096488C">
      <w:pPr>
        <w:pStyle w:val="Heading5"/>
        <w:spacing w:before="60" w:after="60" w:line="264" w:lineRule="auto"/>
        <w:rPr>
          <w:shd w:val="clear" w:color="auto" w:fill="FFFFFF"/>
        </w:rPr>
      </w:pPr>
      <w:r w:rsidRPr="0096488C">
        <w:rPr>
          <w:shd w:val="clear" w:color="auto" w:fill="FFFFFF"/>
        </w:rPr>
        <w:t>2.6.</w:t>
      </w:r>
      <w:r w:rsidR="0058760E" w:rsidRPr="0096488C">
        <w:rPr>
          <w:shd w:val="clear" w:color="auto" w:fill="FFFFFF"/>
        </w:rPr>
        <w:t>4</w:t>
      </w:r>
      <w:r w:rsidRPr="0096488C">
        <w:rPr>
          <w:shd w:val="clear" w:color="auto" w:fill="FFFFFF"/>
        </w:rPr>
        <w:t xml:space="preserve">. </w:t>
      </w:r>
      <w:r w:rsidR="00375E17" w:rsidRPr="0096488C">
        <w:rPr>
          <w:shd w:val="clear" w:color="auto" w:fill="FFFFFF"/>
        </w:rPr>
        <w:t xml:space="preserve">Về </w:t>
      </w:r>
      <w:r w:rsidR="00375E17" w:rsidRPr="0096488C">
        <w:rPr>
          <w:rFonts w:eastAsiaTheme="minorHAnsi" w:cstheme="minorBidi"/>
          <w:spacing w:val="-2"/>
        </w:rPr>
        <w:t xml:space="preserve">trách nhiệm thi hành: </w:t>
      </w:r>
      <w:r w:rsidRPr="0096488C">
        <w:rPr>
          <w:rFonts w:eastAsiaTheme="minorHAnsi" w:cstheme="minorBidi"/>
          <w:spacing w:val="-2"/>
        </w:rPr>
        <w:t xml:space="preserve"> </w:t>
      </w:r>
    </w:p>
    <w:p w14:paraId="75A953BB" w14:textId="3E1480F4" w:rsidR="00793548" w:rsidRPr="0096488C" w:rsidRDefault="00793548" w:rsidP="0096488C">
      <w:pPr>
        <w:spacing w:before="60" w:after="60" w:line="264" w:lineRule="auto"/>
        <w:ind w:firstLine="720"/>
        <w:jc w:val="both"/>
      </w:pPr>
      <w:r w:rsidRPr="0096488C">
        <w:rPr>
          <w:spacing w:val="-2"/>
          <w:szCs w:val="28"/>
        </w:rPr>
        <w:t>Quy định về trách nhiệm thi hành</w:t>
      </w:r>
      <w:r w:rsidR="007B4B16" w:rsidRPr="0096488C">
        <w:rPr>
          <w:spacing w:val="-2"/>
          <w:szCs w:val="28"/>
        </w:rPr>
        <w:t xml:space="preserve"> tại Điều 2</w:t>
      </w:r>
      <w:r w:rsidR="00375E17" w:rsidRPr="0096488C">
        <w:rPr>
          <w:spacing w:val="-2"/>
          <w:szCs w:val="28"/>
        </w:rPr>
        <w:t>5</w:t>
      </w:r>
      <w:r w:rsidR="00C61F4E" w:rsidRPr="0096488C">
        <w:rPr>
          <w:spacing w:val="-2"/>
          <w:szCs w:val="28"/>
        </w:rPr>
        <w:t xml:space="preserve"> </w:t>
      </w:r>
      <w:r w:rsidR="00C61F4E" w:rsidRPr="0096488C">
        <w:rPr>
          <w:spacing w:val="-2"/>
          <w:szCs w:val="28"/>
          <w:shd w:val="clear" w:color="auto" w:fill="FFFFFF"/>
        </w:rPr>
        <w:t>dự thảo Nghị định</w:t>
      </w:r>
      <w:r w:rsidRPr="0096488C">
        <w:rPr>
          <w:spacing w:val="-2"/>
          <w:szCs w:val="28"/>
        </w:rPr>
        <w:t xml:space="preserve"> giao Bộ Kế </w:t>
      </w:r>
      <w:r w:rsidR="002E046D" w:rsidRPr="0096488C">
        <w:rPr>
          <w:spacing w:val="-2"/>
          <w:szCs w:val="28"/>
        </w:rPr>
        <w:t xml:space="preserve">hoạch và Đầu tư </w:t>
      </w:r>
      <w:r w:rsidRPr="0096488C">
        <w:rPr>
          <w:spacing w:val="-2"/>
          <w:lang w:val="vi-VN"/>
        </w:rPr>
        <w:t>chủ trì, phối h</w:t>
      </w:r>
      <w:r w:rsidRPr="0096488C">
        <w:rPr>
          <w:spacing w:val="-2"/>
        </w:rPr>
        <w:t>ợ</w:t>
      </w:r>
      <w:r w:rsidRPr="0096488C">
        <w:rPr>
          <w:spacing w:val="-2"/>
          <w:lang w:val="vi-VN"/>
        </w:rPr>
        <w:t xml:space="preserve">p với các bộ, </w:t>
      </w:r>
      <w:r w:rsidR="00513198" w:rsidRPr="0096488C">
        <w:rPr>
          <w:spacing w:val="-2"/>
        </w:rPr>
        <w:t>cơ quan</w:t>
      </w:r>
      <w:r w:rsidRPr="0096488C">
        <w:rPr>
          <w:spacing w:val="-2"/>
          <w:lang w:val="vi-VN"/>
        </w:rPr>
        <w:t xml:space="preserve"> liên quan tổ chức thi hành Nghị định</w:t>
      </w:r>
      <w:r w:rsidRPr="0096488C">
        <w:rPr>
          <w:spacing w:val="-2"/>
        </w:rPr>
        <w:t>;</w:t>
      </w:r>
      <w:r w:rsidRPr="0096488C">
        <w:rPr>
          <w:spacing w:val="-2"/>
          <w:lang w:val="vi-VN"/>
        </w:rPr>
        <w:t xml:space="preserve"> Các Bộ trưởng, Thủ trưởng cơ quan ngang bộ, Thủ trưởng cơ quan thuộc Chính phủ, Chủ tịch Ủy ban nhân dân c</w:t>
      </w:r>
      <w:r w:rsidRPr="0096488C">
        <w:rPr>
          <w:spacing w:val="-2"/>
        </w:rPr>
        <w:t>á</w:t>
      </w:r>
      <w:r w:rsidRPr="0096488C">
        <w:rPr>
          <w:spacing w:val="-2"/>
          <w:lang w:val="vi-VN"/>
        </w:rPr>
        <w:t>c tỉnh, thành phố trực thuộc trung ương và tổ chức, cá nhân có liên quan chịu trách nhiệm thi hành Nghị định này</w:t>
      </w:r>
      <w:r w:rsidRPr="0096488C">
        <w:t>.</w:t>
      </w:r>
    </w:p>
    <w:p w14:paraId="0314F266" w14:textId="0C586EB7" w:rsidR="003E0672" w:rsidRPr="0096488C" w:rsidRDefault="004331B1" w:rsidP="0096488C">
      <w:pPr>
        <w:pStyle w:val="Heading1"/>
        <w:spacing w:before="60" w:after="60" w:line="264" w:lineRule="auto"/>
        <w:rPr>
          <w:shd w:val="clear" w:color="auto" w:fill="FFFFFF"/>
        </w:rPr>
      </w:pPr>
      <w:r w:rsidRPr="0096488C">
        <w:rPr>
          <w:shd w:val="clear" w:color="auto" w:fill="FFFFFF"/>
        </w:rPr>
        <w:lastRenderedPageBreak/>
        <w:tab/>
      </w:r>
      <w:r w:rsidR="003E0672" w:rsidRPr="0096488C">
        <w:rPr>
          <w:shd w:val="clear" w:color="auto" w:fill="FFFFFF"/>
        </w:rPr>
        <w:t>V. DỰ KIẾN NGUỒN LỰC, ĐIỀU KIỆN BẢO ĐẢM VIỆC THI HÀNH NGHỊ ĐỊNH</w:t>
      </w:r>
    </w:p>
    <w:p w14:paraId="55A3D6F2" w14:textId="77777777" w:rsidR="003E0672" w:rsidRPr="0096488C" w:rsidRDefault="003E0672" w:rsidP="0096488C">
      <w:pPr>
        <w:pStyle w:val="Heading3"/>
        <w:spacing w:before="60" w:after="60"/>
        <w:rPr>
          <w:shd w:val="clear" w:color="auto" w:fill="FFFFFF"/>
        </w:rPr>
      </w:pPr>
      <w:r w:rsidRPr="0096488C">
        <w:rPr>
          <w:shd w:val="clear" w:color="auto" w:fill="FFFFFF"/>
        </w:rPr>
        <w:t>1. Về nguồn lực</w:t>
      </w:r>
    </w:p>
    <w:p w14:paraId="0979DBFC" w14:textId="77777777" w:rsidR="003E0672" w:rsidRPr="0096488C" w:rsidRDefault="003E0672" w:rsidP="0096488C">
      <w:pPr>
        <w:pStyle w:val="NormalWeb"/>
        <w:shd w:val="clear" w:color="auto" w:fill="FFFFFF"/>
        <w:spacing w:before="60" w:beforeAutospacing="0" w:after="60" w:afterAutospacing="0" w:line="264" w:lineRule="auto"/>
        <w:ind w:firstLine="540"/>
        <w:jc w:val="both"/>
        <w:rPr>
          <w:sz w:val="28"/>
          <w:szCs w:val="28"/>
          <w:shd w:val="clear" w:color="auto" w:fill="FFFFFF"/>
        </w:rPr>
      </w:pPr>
      <w:r w:rsidRPr="0096488C">
        <w:rPr>
          <w:sz w:val="28"/>
          <w:szCs w:val="28"/>
          <w:shd w:val="clear" w:color="auto" w:fill="FFFFFF"/>
        </w:rPr>
        <w:t>Dự kiến khi Nghị định ban hành, các cơ quan, tổ chức thuộc đối tượng điều chỉnh có trách nhiệm thực thi Nghị định, trong đó Bộ Kế hoạch và Đầu tư có trách nhiệm theo dõi, tổng hợp tình hình tổ chức triển khai thi hành Nghị định.</w:t>
      </w:r>
    </w:p>
    <w:p w14:paraId="22F90367" w14:textId="77777777" w:rsidR="003E0672" w:rsidRPr="0096488C" w:rsidRDefault="003E0672" w:rsidP="0096488C">
      <w:pPr>
        <w:pStyle w:val="NormalWeb"/>
        <w:shd w:val="clear" w:color="auto" w:fill="FFFFFF"/>
        <w:spacing w:before="60" w:beforeAutospacing="0" w:after="60" w:afterAutospacing="0" w:line="264" w:lineRule="auto"/>
        <w:ind w:firstLine="540"/>
        <w:jc w:val="both"/>
        <w:rPr>
          <w:sz w:val="28"/>
          <w:szCs w:val="28"/>
          <w:shd w:val="clear" w:color="auto" w:fill="FFFFFF"/>
        </w:rPr>
      </w:pPr>
      <w:r w:rsidRPr="0096488C">
        <w:rPr>
          <w:sz w:val="28"/>
          <w:szCs w:val="28"/>
          <w:shd w:val="clear" w:color="auto" w:fill="FFFFFF"/>
        </w:rPr>
        <w:t>Nguồn nhân lực, cơ sở vật chất và trang thiết bị, hệ thống công nghệ thông tin hiện có của các cơ quan quản lý nhà nước bảo đảm đủ điều kiện cho việc tổ chức thi hành Nghị định được ban hành.</w:t>
      </w:r>
    </w:p>
    <w:p w14:paraId="46044A61" w14:textId="77777777" w:rsidR="003E0672" w:rsidRPr="0096488C" w:rsidRDefault="003E0672" w:rsidP="0096488C">
      <w:pPr>
        <w:pStyle w:val="Heading3"/>
        <w:spacing w:before="60" w:after="60"/>
        <w:rPr>
          <w:shd w:val="clear" w:color="auto" w:fill="FFFFFF"/>
        </w:rPr>
      </w:pPr>
      <w:r w:rsidRPr="0096488C">
        <w:rPr>
          <w:shd w:val="clear" w:color="auto" w:fill="FFFFFF"/>
        </w:rPr>
        <w:t>2. Về kinh phí</w:t>
      </w:r>
    </w:p>
    <w:p w14:paraId="5D42129E" w14:textId="74F02F11" w:rsidR="003E0672" w:rsidRPr="0096488C" w:rsidRDefault="00B53613" w:rsidP="0096488C">
      <w:pPr>
        <w:pStyle w:val="NormalWeb"/>
        <w:shd w:val="clear" w:color="auto" w:fill="FFFFFF"/>
        <w:spacing w:before="60" w:beforeAutospacing="0" w:after="60" w:afterAutospacing="0" w:line="264" w:lineRule="auto"/>
        <w:ind w:firstLine="540"/>
        <w:jc w:val="both"/>
        <w:rPr>
          <w:sz w:val="28"/>
          <w:szCs w:val="28"/>
          <w:shd w:val="clear" w:color="auto" w:fill="FFFFFF"/>
        </w:rPr>
      </w:pPr>
      <w:r w:rsidRPr="0096488C">
        <w:rPr>
          <w:sz w:val="28"/>
          <w:szCs w:val="28"/>
          <w:shd w:val="clear" w:color="auto" w:fill="FFFFFF"/>
        </w:rPr>
        <w:t>a</w:t>
      </w:r>
      <w:r w:rsidR="003E0672" w:rsidRPr="0096488C">
        <w:rPr>
          <w:sz w:val="28"/>
          <w:szCs w:val="28"/>
          <w:shd w:val="clear" w:color="auto" w:fill="FFFFFF"/>
        </w:rPr>
        <w:t>) Kinh phi bảo đảm tổ chức thi hành Nghị định sau khi được ban hành, bao gồm kinh phí phát sinh sau khi ban hành được dự toán, chủ yếu lấy từ nguồn kinh phí chi thường xuyên của cơ quan nhà nước theo quy định.</w:t>
      </w:r>
    </w:p>
    <w:p w14:paraId="31B1E15D" w14:textId="723DEA7B" w:rsidR="00B53613" w:rsidRPr="0096488C" w:rsidRDefault="00B53613" w:rsidP="0096488C">
      <w:pPr>
        <w:pStyle w:val="NormalWeb"/>
        <w:shd w:val="clear" w:color="auto" w:fill="FFFFFF"/>
        <w:spacing w:before="60" w:beforeAutospacing="0" w:after="60" w:afterAutospacing="0" w:line="264" w:lineRule="auto"/>
        <w:ind w:firstLine="540"/>
        <w:jc w:val="both"/>
        <w:rPr>
          <w:sz w:val="28"/>
          <w:szCs w:val="28"/>
          <w:shd w:val="clear" w:color="auto" w:fill="FFFFFF"/>
        </w:rPr>
      </w:pPr>
      <w:r w:rsidRPr="0096488C">
        <w:rPr>
          <w:sz w:val="28"/>
          <w:szCs w:val="28"/>
          <w:shd w:val="clear" w:color="auto" w:fill="FFFFFF"/>
        </w:rPr>
        <w:t>b) Kinh phí cho thực hiện chính sách được xây dựng tại Nghị định sẽ được xác định cụ thể theo từng giai đoạn để phù hợp với khả năng cân đối nguồn lực của Nhà nước trong từng thời kỳ.</w:t>
      </w:r>
    </w:p>
    <w:p w14:paraId="231B0777" w14:textId="379C288A" w:rsidR="000729D1" w:rsidRPr="0096488C" w:rsidRDefault="00AD4BA0" w:rsidP="0096488C">
      <w:pPr>
        <w:pStyle w:val="Heading1"/>
        <w:spacing w:before="60" w:after="60" w:line="264" w:lineRule="auto"/>
        <w:rPr>
          <w:b w:val="0"/>
          <w:lang w:val="sv-SE"/>
        </w:rPr>
      </w:pPr>
      <w:r w:rsidRPr="0096488C">
        <w:rPr>
          <w:lang w:val="vi-VN"/>
        </w:rPr>
        <w:t>V</w:t>
      </w:r>
      <w:r w:rsidR="003E0672" w:rsidRPr="0096488C">
        <w:t>I</w:t>
      </w:r>
      <w:r w:rsidR="000729D1" w:rsidRPr="0096488C">
        <w:t>. NHỮNG VẤN ĐỀ XIN Ý KIẾN CHÍNH PHỦ</w:t>
      </w:r>
    </w:p>
    <w:p w14:paraId="1DE66D6E" w14:textId="6B848D63" w:rsidR="006A2316" w:rsidRPr="0096488C" w:rsidRDefault="006A2316" w:rsidP="0096488C">
      <w:pPr>
        <w:pStyle w:val="Heading3"/>
        <w:spacing w:before="60" w:after="60"/>
        <w:ind w:firstLine="720"/>
        <w:rPr>
          <w:lang w:val="de-DE"/>
        </w:rPr>
      </w:pPr>
      <w:bookmarkStart w:id="8" w:name="_Hlk144370683"/>
      <w:r w:rsidRPr="0096488C">
        <w:t>Về tên gọi của Nghị định</w:t>
      </w:r>
    </w:p>
    <w:p w14:paraId="0ECE7459" w14:textId="24FC7772" w:rsidR="00887BC3" w:rsidRPr="0096488C" w:rsidRDefault="006A2316" w:rsidP="0096488C">
      <w:pPr>
        <w:pStyle w:val="Noidung"/>
        <w:spacing w:before="60" w:after="60" w:line="264" w:lineRule="auto"/>
        <w:rPr>
          <w:bCs/>
          <w:iCs/>
          <w:szCs w:val="28"/>
          <w:lang w:val="de-DE"/>
        </w:rPr>
      </w:pPr>
      <w:r w:rsidRPr="0096488C">
        <w:rPr>
          <w:lang w:val="de-DE"/>
        </w:rPr>
        <w:t xml:space="preserve">Theo Quyết </w:t>
      </w:r>
      <w:r w:rsidRPr="0096488C">
        <w:t xml:space="preserve">định số 857/QĐ-TTg ngày 18/7/2023 về việc ban hành Danh mục và phân công cơ quan chủ trì soạn thảo văn bản quy định chi tiết thi hành </w:t>
      </w:r>
      <w:r w:rsidR="007E433F" w:rsidRPr="0096488C">
        <w:t xml:space="preserve"> </w:t>
      </w:r>
      <w:r w:rsidRPr="0096488C">
        <w:t xml:space="preserve">luật, nghị quyết được Quốc hội khóa XV thông qua tại Kỳ họp thứ 5, tên gọi của Nghị định là </w:t>
      </w:r>
      <w:r w:rsidRPr="0096488C">
        <w:rPr>
          <w:i/>
          <w:iCs/>
        </w:rPr>
        <w:t>“Nghị định quy định chi tiết một số điều và biện pháp thi hành Luật HTX”.</w:t>
      </w:r>
      <w:r w:rsidRPr="0096488C">
        <w:t xml:space="preserve"> Tuy nhiên, trong quá trình nghiên cứu, soạn thảo dự thảo Nghị định,</w:t>
      </w:r>
      <w:r w:rsidR="008411CE" w:rsidRPr="0096488C">
        <w:t xml:space="preserve"> </w:t>
      </w:r>
      <w:r w:rsidRPr="0096488C">
        <w:t xml:space="preserve">cơ quan chủ trì soạn thảo </w:t>
      </w:r>
      <w:r w:rsidRPr="0096488C">
        <w:rPr>
          <w:bCs/>
          <w:iCs/>
          <w:szCs w:val="28"/>
          <w:lang w:val="de-DE"/>
        </w:rPr>
        <w:t xml:space="preserve">không thấy phát sinh các nội dung ngoài phạm vi được Luật giao và thuộc thẩm quyền Chính phủ. </w:t>
      </w:r>
    </w:p>
    <w:p w14:paraId="445F2802" w14:textId="7823C1CB" w:rsidR="008F5981" w:rsidRPr="0096488C" w:rsidRDefault="006A2316" w:rsidP="0096488C">
      <w:pPr>
        <w:pStyle w:val="Noidung"/>
        <w:spacing w:before="60" w:after="60" w:line="264" w:lineRule="auto"/>
        <w:rPr>
          <w:i/>
          <w:iCs/>
        </w:rPr>
      </w:pPr>
      <w:r w:rsidRPr="0096488C">
        <w:rPr>
          <w:bCs/>
          <w:iCs/>
          <w:szCs w:val="28"/>
          <w:lang w:val="de-DE"/>
        </w:rPr>
        <w:t xml:space="preserve">Vì vậy, cơ quan chủ trì soạn thảo đề xuất tên của </w:t>
      </w:r>
      <w:r w:rsidR="00522286" w:rsidRPr="0096488C">
        <w:rPr>
          <w:bCs/>
          <w:iCs/>
          <w:szCs w:val="28"/>
          <w:lang w:val="de-DE"/>
        </w:rPr>
        <w:t xml:space="preserve">Nghị định là </w:t>
      </w:r>
      <w:r w:rsidR="00522286" w:rsidRPr="0096488C">
        <w:rPr>
          <w:i/>
          <w:iCs/>
        </w:rPr>
        <w:t>“Nghị định quy định chi tiết một số điều của Luật HTX”</w:t>
      </w:r>
      <w:r w:rsidR="00887BC3" w:rsidRPr="0096488C">
        <w:rPr>
          <w:i/>
          <w:iCs/>
        </w:rPr>
        <w:t>.</w:t>
      </w:r>
    </w:p>
    <w:bookmarkEnd w:id="8"/>
    <w:p w14:paraId="2D61F84D" w14:textId="534EEDBC" w:rsidR="000729D1" w:rsidRPr="0096488C" w:rsidRDefault="009D17C2" w:rsidP="0096488C">
      <w:pPr>
        <w:pStyle w:val="Noidung"/>
        <w:spacing w:before="60" w:after="60" w:line="264" w:lineRule="auto"/>
      </w:pPr>
      <w:r w:rsidRPr="0096488C">
        <w:t xml:space="preserve">Trên đây là Tờ trình về Nghị định quy định chi tiết một số điều </w:t>
      </w:r>
      <w:r w:rsidR="00683631" w:rsidRPr="0096488C">
        <w:t>của</w:t>
      </w:r>
      <w:r w:rsidRPr="0096488C">
        <w:t xml:space="preserve"> Luật H</w:t>
      </w:r>
      <w:r w:rsidR="00375E17" w:rsidRPr="0096488C">
        <w:t>TX</w:t>
      </w:r>
      <w:r w:rsidRPr="0096488C">
        <w:t xml:space="preserve">, </w:t>
      </w:r>
      <w:r w:rsidR="000729D1" w:rsidRPr="0096488C">
        <w:t>Bộ Kế hoạch và Đầu tư kính trình Chính phủ xem xét, quyết định./.</w:t>
      </w:r>
    </w:p>
    <w:p w14:paraId="227F64A9" w14:textId="77777777" w:rsidR="009D17C2" w:rsidRPr="0096488C" w:rsidRDefault="009D17C2" w:rsidP="0096488C">
      <w:pPr>
        <w:widowControl w:val="0"/>
        <w:overflowPunct w:val="0"/>
        <w:autoSpaceDE w:val="0"/>
        <w:autoSpaceDN w:val="0"/>
        <w:adjustRightInd w:val="0"/>
        <w:spacing w:before="60" w:after="60" w:line="264" w:lineRule="auto"/>
        <w:ind w:firstLine="567"/>
        <w:jc w:val="both"/>
        <w:textAlignment w:val="baseline"/>
        <w:outlineLvl w:val="2"/>
        <w:rPr>
          <w:i/>
        </w:rPr>
      </w:pPr>
      <w:r w:rsidRPr="0096488C">
        <w:rPr>
          <w:i/>
        </w:rPr>
        <w:t xml:space="preserve">(Xin </w:t>
      </w:r>
      <w:r w:rsidR="00E75459" w:rsidRPr="0096488C">
        <w:rPr>
          <w:i/>
        </w:rPr>
        <w:t>gửi kèm theo:</w:t>
      </w:r>
    </w:p>
    <w:p w14:paraId="0C457433" w14:textId="77777777" w:rsidR="00E75459" w:rsidRPr="0096488C" w:rsidRDefault="00E75459" w:rsidP="0096488C">
      <w:pPr>
        <w:widowControl w:val="0"/>
        <w:overflowPunct w:val="0"/>
        <w:autoSpaceDE w:val="0"/>
        <w:autoSpaceDN w:val="0"/>
        <w:adjustRightInd w:val="0"/>
        <w:spacing w:before="60" w:after="60" w:line="264" w:lineRule="auto"/>
        <w:ind w:firstLine="567"/>
        <w:jc w:val="both"/>
        <w:textAlignment w:val="baseline"/>
        <w:outlineLvl w:val="2"/>
        <w:rPr>
          <w:i/>
        </w:rPr>
      </w:pPr>
      <w:r w:rsidRPr="0096488C">
        <w:rPr>
          <w:i/>
        </w:rPr>
        <w:t>(1) Dự thảo Nghị định;</w:t>
      </w:r>
    </w:p>
    <w:p w14:paraId="27BA6F5F" w14:textId="77777777" w:rsidR="00341BF2" w:rsidRPr="0096488C" w:rsidRDefault="00E75459" w:rsidP="0096488C">
      <w:pPr>
        <w:widowControl w:val="0"/>
        <w:overflowPunct w:val="0"/>
        <w:autoSpaceDE w:val="0"/>
        <w:autoSpaceDN w:val="0"/>
        <w:adjustRightInd w:val="0"/>
        <w:spacing w:before="60" w:after="60" w:line="264" w:lineRule="auto"/>
        <w:ind w:firstLine="567"/>
        <w:jc w:val="both"/>
        <w:textAlignment w:val="baseline"/>
        <w:outlineLvl w:val="2"/>
        <w:rPr>
          <w:i/>
        </w:rPr>
      </w:pPr>
      <w:r w:rsidRPr="0096488C">
        <w:rPr>
          <w:i/>
        </w:rPr>
        <w:t>(</w:t>
      </w:r>
      <w:r w:rsidR="00E51931" w:rsidRPr="0096488C">
        <w:rPr>
          <w:i/>
        </w:rPr>
        <w:t>2</w:t>
      </w:r>
      <w:r w:rsidRPr="0096488C">
        <w:rPr>
          <w:i/>
        </w:rPr>
        <w:t>) Bản tổng hợp, giải trình, tiếp thu ý kiến của cơ quan, tổ chức, cá nhân và đối tượng chịu tác động trực tiếp của văn bản;</w:t>
      </w:r>
    </w:p>
    <w:p w14:paraId="1D0BB358" w14:textId="6CF0739F" w:rsidR="00AD5909" w:rsidRPr="0096488C" w:rsidRDefault="00AD5909" w:rsidP="0096488C">
      <w:pPr>
        <w:widowControl w:val="0"/>
        <w:overflowPunct w:val="0"/>
        <w:autoSpaceDE w:val="0"/>
        <w:autoSpaceDN w:val="0"/>
        <w:adjustRightInd w:val="0"/>
        <w:spacing w:before="60" w:after="60" w:line="264" w:lineRule="auto"/>
        <w:ind w:firstLine="567"/>
        <w:jc w:val="both"/>
        <w:textAlignment w:val="baseline"/>
        <w:outlineLvl w:val="2"/>
        <w:rPr>
          <w:i/>
        </w:rPr>
      </w:pPr>
      <w:r w:rsidRPr="0096488C">
        <w:rPr>
          <w:i/>
        </w:rPr>
        <w:t>(3) Báo cáo thẩm định của Bộ Tư pháp và Báo cáo tiếp thu, giải trình ý kiến thẩm định;</w:t>
      </w:r>
    </w:p>
    <w:p w14:paraId="6CB85801" w14:textId="5E51F9DA" w:rsidR="00E75459" w:rsidRPr="0096488C" w:rsidRDefault="00E75459" w:rsidP="0096488C">
      <w:pPr>
        <w:widowControl w:val="0"/>
        <w:overflowPunct w:val="0"/>
        <w:autoSpaceDE w:val="0"/>
        <w:autoSpaceDN w:val="0"/>
        <w:adjustRightInd w:val="0"/>
        <w:spacing w:before="60" w:after="60" w:line="264" w:lineRule="auto"/>
        <w:ind w:firstLine="567"/>
        <w:jc w:val="both"/>
        <w:textAlignment w:val="baseline"/>
        <w:outlineLvl w:val="2"/>
        <w:rPr>
          <w:i/>
        </w:rPr>
      </w:pPr>
      <w:r w:rsidRPr="0096488C">
        <w:rPr>
          <w:i/>
        </w:rPr>
        <w:t>(</w:t>
      </w:r>
      <w:r w:rsidR="00AD5909" w:rsidRPr="0096488C">
        <w:rPr>
          <w:i/>
        </w:rPr>
        <w:t>4</w:t>
      </w:r>
      <w:r w:rsidRPr="0096488C">
        <w:rPr>
          <w:i/>
        </w:rPr>
        <w:t>) Báo cáo đánh giá tác động của chính sách;</w:t>
      </w:r>
    </w:p>
    <w:p w14:paraId="43C1E2CE" w14:textId="1FA811A5" w:rsidR="0068635B" w:rsidRPr="0096488C" w:rsidRDefault="00AD5909" w:rsidP="0096488C">
      <w:pPr>
        <w:widowControl w:val="0"/>
        <w:overflowPunct w:val="0"/>
        <w:autoSpaceDE w:val="0"/>
        <w:autoSpaceDN w:val="0"/>
        <w:adjustRightInd w:val="0"/>
        <w:spacing w:before="60" w:after="60" w:line="264" w:lineRule="auto"/>
        <w:ind w:firstLine="567"/>
        <w:jc w:val="both"/>
        <w:textAlignment w:val="baseline"/>
        <w:outlineLvl w:val="2"/>
        <w:rPr>
          <w:i/>
        </w:rPr>
      </w:pPr>
      <w:r w:rsidRPr="0096488C">
        <w:rPr>
          <w:i/>
        </w:rPr>
        <w:t>(5</w:t>
      </w:r>
      <w:r w:rsidR="00E75459" w:rsidRPr="0096488C">
        <w:rPr>
          <w:i/>
        </w:rPr>
        <w:t>) Bản đánh giá thủ tục hành chính trong dự thảo</w:t>
      </w:r>
      <w:r w:rsidR="0068635B" w:rsidRPr="0096488C">
        <w:rPr>
          <w:i/>
        </w:rPr>
        <w:t>;</w:t>
      </w:r>
    </w:p>
    <w:p w14:paraId="5C72D7D1" w14:textId="16031B2B" w:rsidR="00A31B70" w:rsidRPr="0096488C" w:rsidRDefault="00AD5909" w:rsidP="0096488C">
      <w:pPr>
        <w:widowControl w:val="0"/>
        <w:overflowPunct w:val="0"/>
        <w:autoSpaceDE w:val="0"/>
        <w:autoSpaceDN w:val="0"/>
        <w:adjustRightInd w:val="0"/>
        <w:spacing w:before="60" w:after="60" w:line="264" w:lineRule="auto"/>
        <w:ind w:firstLine="567"/>
        <w:jc w:val="both"/>
        <w:textAlignment w:val="baseline"/>
        <w:outlineLvl w:val="2"/>
        <w:rPr>
          <w:i/>
        </w:rPr>
      </w:pPr>
      <w:r w:rsidRPr="0096488C">
        <w:rPr>
          <w:i/>
        </w:rPr>
        <w:lastRenderedPageBreak/>
        <w:t xml:space="preserve">(6) </w:t>
      </w:r>
      <w:r w:rsidR="0068635B" w:rsidRPr="0096488C">
        <w:rPr>
          <w:i/>
        </w:rPr>
        <w:t xml:space="preserve">Báo cáo lồng ghép </w:t>
      </w:r>
      <w:r w:rsidRPr="0096488C">
        <w:rPr>
          <w:i/>
        </w:rPr>
        <w:t xml:space="preserve">vấn đề </w:t>
      </w:r>
      <w:r w:rsidR="0068635B" w:rsidRPr="0096488C">
        <w:rPr>
          <w:i/>
        </w:rPr>
        <w:t>bình đẳng giới</w:t>
      </w:r>
      <w:r w:rsidR="00A31B70" w:rsidRPr="0096488C">
        <w:rPr>
          <w:i/>
        </w:rPr>
        <w:t xml:space="preserve">; </w:t>
      </w:r>
    </w:p>
    <w:p w14:paraId="77151E7D" w14:textId="63354923" w:rsidR="00E9353E" w:rsidRPr="0096488C" w:rsidRDefault="00A31B70">
      <w:pPr>
        <w:widowControl w:val="0"/>
        <w:overflowPunct w:val="0"/>
        <w:autoSpaceDE w:val="0"/>
        <w:autoSpaceDN w:val="0"/>
        <w:adjustRightInd w:val="0"/>
        <w:spacing w:before="60" w:after="60" w:line="264" w:lineRule="auto"/>
        <w:ind w:firstLine="567"/>
        <w:jc w:val="both"/>
        <w:textAlignment w:val="baseline"/>
        <w:outlineLvl w:val="2"/>
        <w:rPr>
          <w:i/>
        </w:rPr>
      </w:pPr>
      <w:r w:rsidRPr="0096488C">
        <w:rPr>
          <w:i/>
        </w:rPr>
        <w:t>(7) Báo cáo rà soát các văn bản quy phạm pháp luật liên quan</w:t>
      </w:r>
      <w:r w:rsidR="00E75459" w:rsidRPr="0096488C">
        <w:rPr>
          <w:i/>
        </w:rPr>
        <w:t>.)</w:t>
      </w:r>
    </w:p>
    <w:p w14:paraId="65D90C7E" w14:textId="77777777" w:rsidR="00254188" w:rsidRPr="0096488C" w:rsidRDefault="00254188" w:rsidP="0096488C">
      <w:pPr>
        <w:widowControl w:val="0"/>
        <w:overflowPunct w:val="0"/>
        <w:autoSpaceDE w:val="0"/>
        <w:autoSpaceDN w:val="0"/>
        <w:adjustRightInd w:val="0"/>
        <w:spacing w:before="60" w:after="60" w:line="264" w:lineRule="auto"/>
        <w:ind w:firstLine="567"/>
        <w:jc w:val="both"/>
        <w:textAlignment w:val="baseline"/>
        <w:outlineLvl w:val="2"/>
        <w:rPr>
          <w:i/>
        </w:rPr>
      </w:pPr>
    </w:p>
    <w:p w14:paraId="003F92A2" w14:textId="77777777" w:rsidR="000729D1" w:rsidRPr="0096488C" w:rsidRDefault="000729D1" w:rsidP="0096488C">
      <w:pPr>
        <w:spacing w:before="60" w:after="60" w:line="264" w:lineRule="auto"/>
        <w:ind w:firstLine="709"/>
        <w:jc w:val="both"/>
        <w:rPr>
          <w:sz w:val="2"/>
        </w:rPr>
      </w:pPr>
    </w:p>
    <w:tbl>
      <w:tblPr>
        <w:tblW w:w="9462" w:type="dxa"/>
        <w:tblInd w:w="6" w:type="dxa"/>
        <w:tblLayout w:type="fixed"/>
        <w:tblLook w:val="01E0" w:firstRow="1" w:lastRow="1" w:firstColumn="1" w:lastColumn="1" w:noHBand="0" w:noVBand="0"/>
      </w:tblPr>
      <w:tblGrid>
        <w:gridCol w:w="4694"/>
        <w:gridCol w:w="4768"/>
      </w:tblGrid>
      <w:tr w:rsidR="0096488C" w:rsidRPr="0096488C" w14:paraId="48B5BFAD" w14:textId="77777777" w:rsidTr="005849C3">
        <w:trPr>
          <w:trHeight w:val="2516"/>
        </w:trPr>
        <w:tc>
          <w:tcPr>
            <w:tcW w:w="4694" w:type="dxa"/>
          </w:tcPr>
          <w:p w14:paraId="21E8EFA6" w14:textId="77777777" w:rsidR="000729D1" w:rsidRPr="0096488C" w:rsidRDefault="000729D1" w:rsidP="0096488C">
            <w:pPr>
              <w:spacing w:before="60" w:after="60" w:line="264" w:lineRule="auto"/>
              <w:rPr>
                <w:b/>
                <w:i/>
                <w:iCs/>
                <w:sz w:val="24"/>
                <w:szCs w:val="24"/>
              </w:rPr>
            </w:pPr>
            <w:r w:rsidRPr="0096488C">
              <w:rPr>
                <w:b/>
                <w:i/>
                <w:iCs/>
                <w:sz w:val="24"/>
                <w:szCs w:val="24"/>
              </w:rPr>
              <w:t>Nơi nhận:</w:t>
            </w:r>
          </w:p>
          <w:p w14:paraId="003E7FE3" w14:textId="77777777" w:rsidR="000729D1" w:rsidRPr="0096488C" w:rsidRDefault="000729D1" w:rsidP="001162A9">
            <w:pPr>
              <w:spacing w:after="0" w:line="240" w:lineRule="auto"/>
              <w:rPr>
                <w:bCs/>
                <w:sz w:val="22"/>
              </w:rPr>
            </w:pPr>
            <w:r w:rsidRPr="0096488C">
              <w:rPr>
                <w:bCs/>
                <w:sz w:val="22"/>
              </w:rPr>
              <w:t>- Như trên;</w:t>
            </w:r>
          </w:p>
          <w:p w14:paraId="78BCDB63" w14:textId="77777777" w:rsidR="000729D1" w:rsidRPr="0096488C" w:rsidRDefault="000729D1" w:rsidP="001162A9">
            <w:pPr>
              <w:spacing w:after="0" w:line="240" w:lineRule="auto"/>
              <w:rPr>
                <w:bCs/>
                <w:sz w:val="22"/>
              </w:rPr>
            </w:pPr>
            <w:r w:rsidRPr="0096488C">
              <w:rPr>
                <w:bCs/>
                <w:sz w:val="22"/>
              </w:rPr>
              <w:t>- Thủ tướng, các Phó Thủ tướng (để báo cáo);</w:t>
            </w:r>
          </w:p>
          <w:p w14:paraId="00396074" w14:textId="77777777" w:rsidR="000729D1" w:rsidRPr="0096488C" w:rsidRDefault="000729D1" w:rsidP="001162A9">
            <w:pPr>
              <w:spacing w:after="0" w:line="240" w:lineRule="auto"/>
              <w:rPr>
                <w:bCs/>
                <w:sz w:val="22"/>
              </w:rPr>
            </w:pPr>
            <w:r w:rsidRPr="0096488C">
              <w:rPr>
                <w:bCs/>
                <w:sz w:val="22"/>
              </w:rPr>
              <w:t>- Văn phòng Chính phủ;</w:t>
            </w:r>
          </w:p>
          <w:p w14:paraId="3435EAD4" w14:textId="77777777" w:rsidR="000729D1" w:rsidRPr="0096488C" w:rsidRDefault="000729D1" w:rsidP="001162A9">
            <w:pPr>
              <w:spacing w:after="0" w:line="240" w:lineRule="auto"/>
              <w:rPr>
                <w:bCs/>
                <w:sz w:val="22"/>
              </w:rPr>
            </w:pPr>
            <w:r w:rsidRPr="0096488C">
              <w:rPr>
                <w:bCs/>
                <w:sz w:val="22"/>
              </w:rPr>
              <w:t>- Bộ Tư pháp;</w:t>
            </w:r>
          </w:p>
          <w:p w14:paraId="4A14BDFE" w14:textId="77777777" w:rsidR="001162A9" w:rsidRPr="0096488C" w:rsidRDefault="001162A9" w:rsidP="001162A9">
            <w:pPr>
              <w:spacing w:after="0" w:line="240" w:lineRule="auto"/>
              <w:rPr>
                <w:bCs/>
                <w:sz w:val="22"/>
              </w:rPr>
            </w:pPr>
            <w:r w:rsidRPr="0096488C">
              <w:rPr>
                <w:bCs/>
                <w:sz w:val="22"/>
              </w:rPr>
              <w:t>- Bộ KHĐT: Lãnh đạo Bộ ((để báo cáo)</w:t>
            </w:r>
          </w:p>
          <w:p w14:paraId="18C985A1" w14:textId="77777777" w:rsidR="001162A9" w:rsidRPr="0096488C" w:rsidRDefault="001162A9" w:rsidP="001162A9">
            <w:pPr>
              <w:spacing w:after="0" w:line="240" w:lineRule="auto"/>
              <w:rPr>
                <w:bCs/>
                <w:sz w:val="22"/>
              </w:rPr>
            </w:pPr>
            <w:r w:rsidRPr="0096488C">
              <w:rPr>
                <w:bCs/>
                <w:sz w:val="22"/>
              </w:rPr>
              <w:t xml:space="preserve">  Vụ Pháp chế, Văn phòng Bộ (để phối hợp);</w:t>
            </w:r>
          </w:p>
          <w:p w14:paraId="039341A9" w14:textId="3575C8EB" w:rsidR="000729D1" w:rsidRPr="0096488C" w:rsidRDefault="00341BF2" w:rsidP="001162A9">
            <w:pPr>
              <w:spacing w:after="0" w:line="240" w:lineRule="auto"/>
              <w:rPr>
                <w:bCs/>
                <w:sz w:val="24"/>
                <w:szCs w:val="24"/>
              </w:rPr>
            </w:pPr>
            <w:r w:rsidRPr="0096488C">
              <w:rPr>
                <w:bCs/>
                <w:sz w:val="22"/>
              </w:rPr>
              <w:t>- Lưu VT, KTHT(L3)</w:t>
            </w:r>
            <w:r w:rsidR="000729D1" w:rsidRPr="0096488C">
              <w:rPr>
                <w:bCs/>
                <w:sz w:val="22"/>
              </w:rPr>
              <w:t>.</w:t>
            </w:r>
          </w:p>
        </w:tc>
        <w:tc>
          <w:tcPr>
            <w:tcW w:w="4768" w:type="dxa"/>
          </w:tcPr>
          <w:p w14:paraId="434AAC90" w14:textId="660E32CA" w:rsidR="000729D1" w:rsidRPr="0096488C" w:rsidRDefault="009E0143" w:rsidP="0096488C">
            <w:pPr>
              <w:pStyle w:val="BodyText"/>
              <w:spacing w:after="0" w:line="240" w:lineRule="auto"/>
              <w:jc w:val="center"/>
              <w:rPr>
                <w:b/>
                <w:lang w:val="pt-BR"/>
              </w:rPr>
            </w:pPr>
            <w:r w:rsidRPr="0096488C">
              <w:rPr>
                <w:b/>
                <w:lang w:val="pt-BR"/>
              </w:rPr>
              <w:t xml:space="preserve">KT. </w:t>
            </w:r>
            <w:r w:rsidR="000729D1" w:rsidRPr="0096488C">
              <w:rPr>
                <w:b/>
                <w:lang w:val="pt-BR"/>
              </w:rPr>
              <w:t>BỘ TRƯỞNG</w:t>
            </w:r>
          </w:p>
          <w:p w14:paraId="0176F8EE" w14:textId="050BC257" w:rsidR="009E0143" w:rsidRPr="0096488C" w:rsidRDefault="009E0143" w:rsidP="0096488C">
            <w:pPr>
              <w:pStyle w:val="BodyText"/>
              <w:spacing w:after="0" w:line="240" w:lineRule="auto"/>
              <w:jc w:val="center"/>
              <w:rPr>
                <w:b/>
                <w:lang w:val="pt-BR"/>
              </w:rPr>
            </w:pPr>
            <w:r w:rsidRPr="0096488C">
              <w:rPr>
                <w:b/>
                <w:lang w:val="pt-BR"/>
              </w:rPr>
              <w:t>THỨ TRƯỞNG</w:t>
            </w:r>
          </w:p>
          <w:p w14:paraId="22CAE4AF" w14:textId="77777777" w:rsidR="000729D1" w:rsidRPr="0096488C" w:rsidRDefault="000729D1" w:rsidP="0096488C">
            <w:pPr>
              <w:spacing w:after="0" w:line="240" w:lineRule="auto"/>
              <w:rPr>
                <w:b/>
                <w:lang w:val="pt-BR"/>
              </w:rPr>
            </w:pPr>
          </w:p>
          <w:p w14:paraId="647C31F3" w14:textId="141AD47C" w:rsidR="00732C51" w:rsidRPr="0096488C" w:rsidRDefault="00732C51" w:rsidP="0096488C">
            <w:pPr>
              <w:tabs>
                <w:tab w:val="left" w:pos="720"/>
                <w:tab w:val="left" w:pos="3045"/>
              </w:tabs>
              <w:spacing w:after="0" w:line="240" w:lineRule="auto"/>
              <w:rPr>
                <w:b/>
                <w:lang w:val="pt-BR"/>
              </w:rPr>
            </w:pPr>
            <w:r w:rsidRPr="0096488C">
              <w:rPr>
                <w:b/>
                <w:lang w:val="pt-BR"/>
              </w:rPr>
              <w:tab/>
            </w:r>
          </w:p>
          <w:p w14:paraId="4E18F746" w14:textId="5EEB20B5" w:rsidR="009771F6" w:rsidRPr="0096488C" w:rsidRDefault="00732C51" w:rsidP="001162A9">
            <w:pPr>
              <w:tabs>
                <w:tab w:val="center" w:pos="2276"/>
              </w:tabs>
              <w:spacing w:after="0" w:line="240" w:lineRule="auto"/>
              <w:rPr>
                <w:b/>
                <w:lang w:val="pt-BR"/>
              </w:rPr>
            </w:pPr>
            <w:r w:rsidRPr="0096488C">
              <w:rPr>
                <w:b/>
                <w:lang w:val="pt-BR"/>
              </w:rPr>
              <w:tab/>
            </w:r>
          </w:p>
          <w:p w14:paraId="3FD374D3" w14:textId="77777777" w:rsidR="001162A9" w:rsidRPr="0096488C" w:rsidRDefault="001162A9" w:rsidP="001162A9">
            <w:pPr>
              <w:tabs>
                <w:tab w:val="center" w:pos="2276"/>
              </w:tabs>
              <w:spacing w:after="0" w:line="240" w:lineRule="auto"/>
              <w:rPr>
                <w:b/>
                <w:lang w:val="pt-BR"/>
              </w:rPr>
            </w:pPr>
          </w:p>
          <w:p w14:paraId="70A0FDCD" w14:textId="77777777" w:rsidR="001162A9" w:rsidRPr="0096488C" w:rsidRDefault="001162A9" w:rsidP="0096488C">
            <w:pPr>
              <w:tabs>
                <w:tab w:val="center" w:pos="2276"/>
              </w:tabs>
              <w:spacing w:after="0" w:line="240" w:lineRule="auto"/>
              <w:rPr>
                <w:b/>
                <w:lang w:val="pt-BR"/>
              </w:rPr>
            </w:pPr>
          </w:p>
          <w:p w14:paraId="6EC6AAC5" w14:textId="77777777" w:rsidR="0096488C" w:rsidRDefault="0096488C" w:rsidP="0096488C">
            <w:pPr>
              <w:spacing w:after="0" w:line="240" w:lineRule="auto"/>
              <w:rPr>
                <w:b/>
                <w:sz w:val="24"/>
                <w:lang w:val="pt-BR"/>
              </w:rPr>
            </w:pPr>
          </w:p>
          <w:p w14:paraId="6C74678F" w14:textId="5913FC66" w:rsidR="000729D1" w:rsidRPr="0096488C" w:rsidRDefault="009E0143" w:rsidP="0096488C">
            <w:pPr>
              <w:spacing w:after="0" w:line="240" w:lineRule="auto"/>
              <w:jc w:val="center"/>
              <w:rPr>
                <w:b/>
                <w:lang w:val="pt-BR"/>
              </w:rPr>
            </w:pPr>
            <w:r w:rsidRPr="0096488C">
              <w:rPr>
                <w:b/>
                <w:lang w:val="pt-BR"/>
              </w:rPr>
              <w:t>Đỗ Thành Trung</w:t>
            </w:r>
          </w:p>
        </w:tc>
      </w:tr>
    </w:tbl>
    <w:p w14:paraId="7F872AE2" w14:textId="77777777" w:rsidR="006F06F1" w:rsidRPr="0096488C" w:rsidRDefault="006F06F1" w:rsidP="0096488C">
      <w:pPr>
        <w:tabs>
          <w:tab w:val="left" w:pos="6501"/>
        </w:tabs>
        <w:spacing w:before="120" w:after="120" w:line="264" w:lineRule="auto"/>
      </w:pPr>
    </w:p>
    <w:sectPr w:rsidR="006F06F1" w:rsidRPr="0096488C" w:rsidSect="0096488C">
      <w:headerReference w:type="default" r:id="rId8"/>
      <w:footerReference w:type="default" r:id="rId9"/>
      <w:pgSz w:w="11907" w:h="16839" w:code="9"/>
      <w:pgMar w:top="1135" w:right="1134" w:bottom="900" w:left="1701" w:header="720" w:footer="41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2646E" w14:textId="77777777" w:rsidR="006A71E7" w:rsidRDefault="006A71E7" w:rsidP="00A72597">
      <w:pPr>
        <w:spacing w:after="0" w:line="240" w:lineRule="auto"/>
      </w:pPr>
      <w:r>
        <w:separator/>
      </w:r>
    </w:p>
  </w:endnote>
  <w:endnote w:type="continuationSeparator" w:id="0">
    <w:p w14:paraId="4147C174" w14:textId="77777777" w:rsidR="006A71E7" w:rsidRDefault="006A71E7" w:rsidP="00A7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678C9" w14:textId="77777777" w:rsidR="00F74F06" w:rsidRDefault="00F74F06">
    <w:pPr>
      <w:pStyle w:val="Footer"/>
      <w:jc w:val="right"/>
    </w:pPr>
  </w:p>
  <w:p w14:paraId="6E448AB6" w14:textId="77777777" w:rsidR="00F74F06" w:rsidRDefault="00F7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06229" w14:textId="77777777" w:rsidR="006A71E7" w:rsidRDefault="006A71E7" w:rsidP="00A72597">
      <w:pPr>
        <w:spacing w:after="0" w:line="240" w:lineRule="auto"/>
      </w:pPr>
      <w:r>
        <w:separator/>
      </w:r>
    </w:p>
  </w:footnote>
  <w:footnote w:type="continuationSeparator" w:id="0">
    <w:p w14:paraId="77248B1B" w14:textId="77777777" w:rsidR="006A71E7" w:rsidRDefault="006A71E7" w:rsidP="00A72597">
      <w:pPr>
        <w:spacing w:after="0" w:line="240" w:lineRule="auto"/>
      </w:pPr>
      <w:r>
        <w:continuationSeparator/>
      </w:r>
    </w:p>
  </w:footnote>
  <w:footnote w:id="1">
    <w:p w14:paraId="125D4EC9" w14:textId="78CB1BE1" w:rsidR="00F74F06" w:rsidRDefault="00F74F06">
      <w:pPr>
        <w:pStyle w:val="FootnoteText"/>
      </w:pPr>
      <w:r>
        <w:rPr>
          <w:rStyle w:val="FootnoteReference"/>
        </w:rPr>
        <w:footnoteRef/>
      </w:r>
      <w:r>
        <w:t xml:space="preserve"> Nhiệm vụ số 14, Mục II, Phụ lục ban hành kèm theo </w:t>
      </w:r>
      <w:r w:rsidRPr="0096488C">
        <w:t>Chương trình hành động của Chính phủ tại Nghị quyết số 09/NQ-CP ngày 02 tháng 02 năm 2023 của Chính phủ</w:t>
      </w:r>
      <w:r>
        <w:t>.</w:t>
      </w:r>
    </w:p>
  </w:footnote>
  <w:footnote w:id="2">
    <w:p w14:paraId="63F9A072" w14:textId="3776C1AE" w:rsidR="00F74F06" w:rsidRDefault="00F74F06" w:rsidP="0096488C">
      <w:pPr>
        <w:pStyle w:val="FootnoteText"/>
        <w:jc w:val="both"/>
      </w:pPr>
      <w:r>
        <w:rPr>
          <w:rStyle w:val="FootnoteReference"/>
        </w:rPr>
        <w:footnoteRef/>
      </w:r>
      <w:r>
        <w:t xml:space="preserve"> </w:t>
      </w:r>
      <w:r w:rsidRPr="00706413">
        <w:t>Các nội dung về trình tự, thủ tục đăng ký (thành lập mới, đăng ký và thông báo các thay đổi về nội dung đăng ký kinh doanh trong quá trình hoạt động, tổ chức lại, giải thể, phá sản) tổ hợp tác, HTX, liên hiệp HTX được quy định tại Nghị định về đăng ký tổ hợp tác, HTX, liên hiệp HTX.</w:t>
      </w:r>
    </w:p>
  </w:footnote>
  <w:footnote w:id="3">
    <w:p w14:paraId="195B79EC" w14:textId="196F3D0C" w:rsidR="00F74F06" w:rsidRDefault="00F74F06">
      <w:pPr>
        <w:pStyle w:val="FootnoteText"/>
      </w:pPr>
      <w:r>
        <w:rPr>
          <w:rStyle w:val="FootnoteReference"/>
        </w:rPr>
        <w:footnoteRef/>
      </w:r>
      <w:r>
        <w:t xml:space="preserve"> Ban Chỉ đạo Đổi mới, phát triển kinh tế tập thể, HTX, 2021. Báo cáo Tổng kết thi hành Luật HTX năm 2012.</w:t>
      </w:r>
    </w:p>
  </w:footnote>
  <w:footnote w:id="4">
    <w:p w14:paraId="799D62DD" w14:textId="77777777" w:rsidR="00F74F06" w:rsidRDefault="00F74F06" w:rsidP="00AE598C">
      <w:pPr>
        <w:pStyle w:val="FootnoteText"/>
      </w:pPr>
      <w:r>
        <w:rPr>
          <w:rStyle w:val="FootnoteReference"/>
        </w:rPr>
        <w:footnoteRef/>
      </w:r>
      <w:r>
        <w:t xml:space="preserve"> Ban Chỉ đạo Đổi mới, phát triển kinh tế tập thể, HTX, 2021. Báo cáo Tổng kết 10 năm thi hành Luật HTX năm 2012, Tài liệu Hội nghị toàn quốc.</w:t>
      </w:r>
    </w:p>
  </w:footnote>
  <w:footnote w:id="5">
    <w:p w14:paraId="25E6A9A7" w14:textId="77777777" w:rsidR="00F74F06" w:rsidRDefault="00F74F06" w:rsidP="00AE598C">
      <w:pPr>
        <w:pStyle w:val="FootnoteText"/>
      </w:pPr>
      <w:r>
        <w:rPr>
          <w:rStyle w:val="FootnoteReference"/>
        </w:rPr>
        <w:footnoteRef/>
      </w:r>
      <w:r>
        <w:t xml:space="preserve"> Ban Chỉ đạo Đổi mới, phát triển kinh tế tập thể, HTX, 2021. Báo cáo Tổng kết 10 năm thi hành Luật HTX năm 2012, Tài liệu Hội nghị toàn quốc.</w:t>
      </w:r>
    </w:p>
  </w:footnote>
  <w:footnote w:id="6">
    <w:p w14:paraId="711202A2" w14:textId="77777777" w:rsidR="00F74F06" w:rsidRDefault="00F74F06" w:rsidP="0096488C">
      <w:pPr>
        <w:pStyle w:val="FootnoteText"/>
        <w:jc w:val="both"/>
      </w:pPr>
      <w:r>
        <w:rPr>
          <w:rStyle w:val="FootnoteReference"/>
        </w:rPr>
        <w:footnoteRef/>
      </w:r>
      <w:r>
        <w:t xml:space="preserve"> </w:t>
      </w:r>
      <w:r w:rsidRPr="001752A1">
        <w:t>Số lượng cán bộ, thành viên HTX được đào tạo, bồi dưỡng trong giai đoạn 2013-2021 còn chiếm tỷ lệ rất thấp (khoảng 5,3</w:t>
      </w:r>
      <w:proofErr w:type="gramStart"/>
      <w:r w:rsidRPr="001752A1">
        <w:t>% )</w:t>
      </w:r>
      <w:proofErr w:type="gramEnd"/>
      <w:r w:rsidRPr="001752A1">
        <w:t xml:space="preserve"> so với tổng số khoảng 6,8 triệu thành viên HTX cả nước hiện nay, nhu cầu đào tạo, bồi dưỡng của HTX là rất lớn; Trình độ cán bộ quản lý HTX nông nghiệp thấp, độ tuổi bình quân của đội ngũ quản lý cao nên thiếu nhạy bén, chậm vận dụng tốt trong thực tế cùng với phương pháp, nội dung giảng dạy còn nặng về lý thuyết. Ngoài ra, đối tượng tập huấn mới tập trung vào cán bộ quản lý HTX, chưa thực hiện đối tượng thành viên HTX; Đối tượng cán bộ quản lý nhà nước về KTTT chưa đào tạo, bồi dưỡng (điều này đã được khắc phục tại Quyết định số 1804/QĐ-TTg khi bổ sung cán bộ quản lý nhà nước vào đối tượng tập huấn); Kinh phí bố trí cho các hoạt động đào tạo, bồi dưỡng đã được ưu tiên nhưng vẫn còn hạn chế so với nhu cầu và việc triển khai chưa hiệu quả do cách phân bổ kinh phí cho rất nhiều cơ quan, đoàn thể ở trung ương và địa phương cùng tập huấn bồi dưỡng kiến thức HTX nông nghiệp dẫn đến sự trùng lắp nội dung và có nội dung không sát nhu cầu thực tế…; Chưa có hệ thống đào tạo về KTTT chính quy, đào tạo một cách bài bản, thống nhất trên cả nước. Nội dung HTX chưa được đưa vào giảng dạy ở các trường đại học, cao đẳng, trung học chuyên nghiệp và dạy nghề.</w:t>
      </w:r>
    </w:p>
  </w:footnote>
  <w:footnote w:id="7">
    <w:p w14:paraId="301A6026" w14:textId="13403061" w:rsidR="00F74F06" w:rsidRDefault="00F74F06">
      <w:pPr>
        <w:pStyle w:val="FootnoteText"/>
      </w:pPr>
      <w:r>
        <w:rPr>
          <w:rStyle w:val="FootnoteReference"/>
        </w:rPr>
        <w:footnoteRef/>
      </w:r>
      <w:r>
        <w:t xml:space="preserve"> Như đối với các chính sách liên quan đến đào tạo, bồi dưỡng, cung cấp thông tin cho tổ hợp tác, HTX, liên hiệp HTX.</w:t>
      </w:r>
    </w:p>
  </w:footnote>
  <w:footnote w:id="8">
    <w:p w14:paraId="0D6B7361" w14:textId="36AB1C62" w:rsidR="00F74F06" w:rsidRPr="00A7523B" w:rsidRDefault="00F74F06" w:rsidP="0096488C">
      <w:pPr>
        <w:pStyle w:val="FootnoteText"/>
        <w:jc w:val="both"/>
      </w:pPr>
      <w:r>
        <w:rPr>
          <w:rStyle w:val="FootnoteReference"/>
        </w:rPr>
        <w:footnoteRef/>
      </w:r>
      <w:r>
        <w:t xml:space="preserve"> Quy định về t</w:t>
      </w:r>
      <w:r>
        <w:rPr>
          <w:lang w:val="vi-VN"/>
        </w:rPr>
        <w:t xml:space="preserve">ổng mức đầu tư của việc góp vốn, mua cổ phần, thành lập doanh nghiệp không được vượt quá 50% vốn điều lệ của </w:t>
      </w:r>
      <w:r>
        <w:t>HTX</w:t>
      </w:r>
      <w:r>
        <w:rPr>
          <w:lang w:val="vi-VN"/>
        </w:rPr>
        <w:t xml:space="preserve">, liên hiệp </w:t>
      </w:r>
      <w:r>
        <w:t>HTX; yêu cầu h</w:t>
      </w:r>
      <w:r>
        <w:rPr>
          <w:lang w:val="vi-VN"/>
        </w:rPr>
        <w:t>oạt động kinh doanh có lãi từ ít nhất 02 năm liên tiếp gần nhất</w:t>
      </w:r>
    </w:p>
  </w:footnote>
  <w:footnote w:id="9">
    <w:p w14:paraId="0771D6C0" w14:textId="37CF3A39" w:rsidR="00F74F06" w:rsidRPr="0013268B" w:rsidRDefault="00F74F06" w:rsidP="00101FD2">
      <w:pPr>
        <w:pStyle w:val="FootnoteText"/>
        <w:jc w:val="both"/>
      </w:pPr>
      <w:r>
        <w:rPr>
          <w:rStyle w:val="FootnoteReference"/>
        </w:rPr>
        <w:footnoteRef/>
      </w:r>
      <w:r>
        <w:t xml:space="preserve"> </w:t>
      </w:r>
      <w:r>
        <w:rPr>
          <w:kern w:val="28"/>
          <w:lang w:val="pt-BR"/>
        </w:rPr>
        <w:t xml:space="preserve">Luật HTX năm 2003 và các văn bản hướng dẫn thi hành Luật đã quy định cụ thể điều kiện và các nguyên tắc của hoạt động tín dụng nội bộ, trong đó có Thông tư số </w:t>
      </w:r>
      <w:r>
        <w:rPr>
          <w:lang w:val="vi-VN"/>
        </w:rPr>
        <w:t>06/2004/TT-NHNN ngày 27 tháng 9 năm 2004 của Thống đốc Ngân hàng Nhà nước Việt Nam hướng dẫn về tín dụng nội bộ HTX</w:t>
      </w:r>
      <w:r>
        <w:t xml:space="preserve"> </w:t>
      </w:r>
      <w:r>
        <w:rPr>
          <w:kern w:val="28"/>
          <w:lang w:val="pt-BR"/>
        </w:rPr>
        <w:t xml:space="preserve">và </w:t>
      </w:r>
      <w:r>
        <w:rPr>
          <w:lang w:val="vi-VN"/>
        </w:rPr>
        <w:t>Thông tư số 04/2007/TT-NHNN ngày 13 tháng 6 năm 2007 của Thống đốc Ngân hàng Nhà nước Việt Nam sửa đổi, bổ sung Thông tư số 06/2004/TT-NHNN ngày 27/9/2004 hướng dẫn về tín dụng nội bộ HTX</w:t>
      </w:r>
      <w:r>
        <w:t>.</w:t>
      </w:r>
    </w:p>
  </w:footnote>
  <w:footnote w:id="10">
    <w:p w14:paraId="0488AF6A" w14:textId="1F1A7535" w:rsidR="00F74F06" w:rsidRDefault="00F74F06">
      <w:pPr>
        <w:pStyle w:val="FootnoteText"/>
      </w:pPr>
      <w:r>
        <w:rPr>
          <w:rStyle w:val="FootnoteReference"/>
        </w:rPr>
        <w:footnoteRef/>
      </w:r>
      <w:r>
        <w:t xml:space="preserve"> </w:t>
      </w:r>
      <w:r>
        <w:rPr>
          <w:kern w:val="28"/>
          <w:lang w:val="pt-BR"/>
        </w:rPr>
        <w:t xml:space="preserve">Thông tư số 31/2018/TT-BTC ngày 30 tháng 3 năm 2018 của Bộ trưởng Bộ Tài chính </w:t>
      </w:r>
      <w:bookmarkStart w:id="0" w:name="loai_1_name"/>
      <w:r>
        <w:rPr>
          <w:kern w:val="28"/>
          <w:lang w:val="pt-BR"/>
        </w:rPr>
        <w:t>hướng dẫn việc xử lý tài sản hình thành từ nhiều nguồn vốn khi HTX, liên hiệp HTX giải thể, phá sản</w:t>
      </w:r>
      <w:bookmarkEnd w:id="0"/>
    </w:p>
  </w:footnote>
  <w:footnote w:id="11">
    <w:p w14:paraId="2AF4B770" w14:textId="346276BC" w:rsidR="00F74F06" w:rsidRDefault="00F74F06">
      <w:pPr>
        <w:pStyle w:val="FootnoteText"/>
      </w:pPr>
      <w:r>
        <w:rPr>
          <w:rStyle w:val="FootnoteReference"/>
        </w:rPr>
        <w:footnoteRef/>
      </w:r>
      <w:r>
        <w:t xml:space="preserve"> Các bộ, ngành không gửi ý kiến</w:t>
      </w:r>
      <w:r w:rsidR="00F44129">
        <w:t xml:space="preserve"> lần 1</w:t>
      </w:r>
      <w:r>
        <w:t xml:space="preserve">: Bộ Y tế, Thanh tra Chính phủ, Văn phòng Chính phủ, Viện Hàn lâm khoa học xã hội Việt Nam, Đài Truyền hình Việt Nam, Ban Quản lý Lăng Chủ tịch Hồ Chí tịch. </w:t>
      </w:r>
    </w:p>
  </w:footnote>
  <w:footnote w:id="12">
    <w:p w14:paraId="4B0690F5" w14:textId="7C1AA9DF" w:rsidR="00F74F06" w:rsidRDefault="00F74F06">
      <w:pPr>
        <w:pStyle w:val="FootnoteText"/>
      </w:pPr>
      <w:r>
        <w:rPr>
          <w:rStyle w:val="FootnoteReference"/>
        </w:rPr>
        <w:footnoteRef/>
      </w:r>
      <w:r>
        <w:t xml:space="preserve"> Các tỉnh không gửi ý kiến</w:t>
      </w:r>
      <w:r w:rsidR="00F44129">
        <w:t xml:space="preserve"> lần 1</w:t>
      </w:r>
      <w:r>
        <w:t>: Sơn La, Quảng Trị và Bình Dương</w:t>
      </w:r>
      <w:r w:rsidR="00A460A8">
        <w:t>; Liên minh HTX tỉnh Trà Vinh.</w:t>
      </w:r>
    </w:p>
  </w:footnote>
  <w:footnote w:id="13">
    <w:p w14:paraId="49003401" w14:textId="082D0362" w:rsidR="00F74F06" w:rsidRDefault="00F74F06" w:rsidP="0096488C">
      <w:pPr>
        <w:pStyle w:val="FootnoteText"/>
        <w:jc w:val="both"/>
      </w:pPr>
      <w:r>
        <w:rPr>
          <w:rStyle w:val="FootnoteReference"/>
        </w:rPr>
        <w:footnoteRef/>
      </w:r>
      <w:r>
        <w:t xml:space="preserve"> </w:t>
      </w:r>
      <w:r>
        <w:rPr>
          <w:szCs w:val="28"/>
          <w:lang w:val="da-DK"/>
        </w:rPr>
        <w:t>Hà Nội,</w:t>
      </w:r>
      <w:r w:rsidRPr="00A53F05">
        <w:rPr>
          <w:szCs w:val="28"/>
          <w:lang w:val="da-DK"/>
        </w:rPr>
        <w:t xml:space="preserve"> </w:t>
      </w:r>
      <w:r>
        <w:t xml:space="preserve">Hà Giang, </w:t>
      </w:r>
      <w:r>
        <w:rPr>
          <w:szCs w:val="28"/>
          <w:lang w:val="da-DK"/>
        </w:rPr>
        <w:t xml:space="preserve">Hòa Bình, Thái Nguyên, Hải Phòng, Thanh Hóa, </w:t>
      </w:r>
      <w:r w:rsidRPr="00A53F05">
        <w:rPr>
          <w:szCs w:val="28"/>
          <w:lang w:val="da-DK"/>
        </w:rPr>
        <w:t>Quảng Bình</w:t>
      </w:r>
      <w:r>
        <w:rPr>
          <w:szCs w:val="28"/>
          <w:lang w:val="da-DK"/>
        </w:rPr>
        <w:t xml:space="preserve">, </w:t>
      </w:r>
      <w:r w:rsidRPr="00A53F05">
        <w:rPr>
          <w:szCs w:val="28"/>
          <w:lang w:val="da-DK"/>
        </w:rPr>
        <w:t>Thừa Thiên Huế</w:t>
      </w:r>
      <w:r>
        <w:rPr>
          <w:szCs w:val="28"/>
          <w:lang w:val="da-DK"/>
        </w:rPr>
        <w:t>, Hậu Giang, Trà Vinh.</w:t>
      </w:r>
      <w:r>
        <w:t xml:space="preserve"> </w:t>
      </w:r>
    </w:p>
  </w:footnote>
  <w:footnote w:id="14">
    <w:p w14:paraId="4BB1B6AC" w14:textId="332DD280" w:rsidR="00F74F06" w:rsidRDefault="00F74F06" w:rsidP="0096488C">
      <w:pPr>
        <w:pStyle w:val="FootnoteText"/>
        <w:jc w:val="both"/>
      </w:pPr>
      <w:r>
        <w:rPr>
          <w:rStyle w:val="FootnoteReference"/>
        </w:rPr>
        <w:footnoteRef/>
      </w:r>
      <w:r>
        <w:t xml:space="preserve"> </w:t>
      </w:r>
      <w:r>
        <w:rPr>
          <w:szCs w:val="28"/>
          <w:lang w:val="da-DK"/>
        </w:rPr>
        <w:t>Hà Nội,</w:t>
      </w:r>
      <w:r w:rsidRPr="00A53F05">
        <w:rPr>
          <w:szCs w:val="28"/>
          <w:lang w:val="da-DK"/>
        </w:rPr>
        <w:t xml:space="preserve"> </w:t>
      </w:r>
      <w:r>
        <w:t xml:space="preserve">Hà Giang, </w:t>
      </w:r>
      <w:r>
        <w:rPr>
          <w:szCs w:val="28"/>
          <w:lang w:val="da-DK"/>
        </w:rPr>
        <w:t xml:space="preserve">Hòa Bình, Thái Nguyên, Hải Phòng, Thanh Hóa, </w:t>
      </w:r>
      <w:r w:rsidRPr="00A53F05">
        <w:rPr>
          <w:szCs w:val="28"/>
          <w:lang w:val="da-DK"/>
        </w:rPr>
        <w:t>Quảng Bình</w:t>
      </w:r>
      <w:r>
        <w:rPr>
          <w:szCs w:val="28"/>
          <w:lang w:val="da-DK"/>
        </w:rPr>
        <w:t xml:space="preserve">, </w:t>
      </w:r>
      <w:r w:rsidRPr="00A53F05">
        <w:rPr>
          <w:szCs w:val="28"/>
          <w:lang w:val="da-DK"/>
        </w:rPr>
        <w:t>Thừa Thiên Huế</w:t>
      </w:r>
      <w:r>
        <w:rPr>
          <w:szCs w:val="28"/>
          <w:lang w:val="da-DK"/>
        </w:rPr>
        <w:t xml:space="preserve">, Hậu Giang, </w:t>
      </w:r>
      <w:r>
        <w:t xml:space="preserve">Thái Bình, Ninh Bình, Bắc Giang, </w:t>
      </w:r>
      <w:r>
        <w:rPr>
          <w:szCs w:val="28"/>
          <w:lang w:val="da-DK"/>
        </w:rPr>
        <w:t>Trà Vinh, Vĩnh Long, Bến Tre, Sóc Trăng.</w:t>
      </w:r>
    </w:p>
  </w:footnote>
  <w:footnote w:id="15">
    <w:p w14:paraId="50CB12F7" w14:textId="703B7F68" w:rsidR="00F74F06" w:rsidRPr="00D56730" w:rsidRDefault="00F74F06" w:rsidP="0096488C">
      <w:pPr>
        <w:pStyle w:val="FootnoteText"/>
        <w:jc w:val="both"/>
      </w:pPr>
      <w:r>
        <w:rPr>
          <w:rStyle w:val="FootnoteReference"/>
        </w:rPr>
        <w:footnoteRef/>
      </w:r>
      <w:r>
        <w:t xml:space="preserve"> </w:t>
      </w:r>
      <w:r w:rsidRPr="0096488C">
        <w:rPr>
          <w:rFonts w:cs="Times New Roman"/>
          <w:color w:val="000000"/>
          <w:shd w:val="clear" w:color="auto" w:fill="FFFFFF"/>
        </w:rPr>
        <w:t>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w:t>
      </w:r>
    </w:p>
  </w:footnote>
  <w:footnote w:id="16">
    <w:p w14:paraId="47588984" w14:textId="77777777" w:rsidR="00F74F06" w:rsidRDefault="00F74F06" w:rsidP="00D542A2">
      <w:pPr>
        <w:pStyle w:val="FootnoteText"/>
        <w:jc w:val="both"/>
      </w:pPr>
      <w:r>
        <w:rPr>
          <w:rStyle w:val="FootnoteReference"/>
        </w:rPr>
        <w:footnoteRef/>
      </w:r>
      <w:r>
        <w:t xml:space="preserve"> Bộ Kế hoạch và Đầu tư, Sách trắng doanh nghiệp Việt Nam năm 2022, NXB Thống kê, 2022: </w:t>
      </w:r>
      <w:r w:rsidRPr="007607BA">
        <w:rPr>
          <w:spacing w:val="-2"/>
          <w:lang w:val="pt-BR"/>
        </w:rPr>
        <w:t>doanh nghiệp vừa, nhỏ, siêu nhỏ đến cuối năm 2020 chiếm 97,4%, trong đó doanh nghiệp vừa chiếm 3,5%, doanh nghiệp nhỏ chiếm 23,9%, doanh nghiệp siêu nhỏ chiếm 69,9%; chỉ khoảng 2,6% là doanh nghiệp lớn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507012"/>
      <w:docPartObj>
        <w:docPartGallery w:val="Page Numbers (Top of Page)"/>
        <w:docPartUnique/>
      </w:docPartObj>
    </w:sdtPr>
    <w:sdtEndPr>
      <w:rPr>
        <w:noProof/>
      </w:rPr>
    </w:sdtEndPr>
    <w:sdtContent>
      <w:p w14:paraId="74E1B7AF" w14:textId="33ECF3B8" w:rsidR="00F74F06" w:rsidRDefault="00F74F06">
        <w:pPr>
          <w:pStyle w:val="Header"/>
          <w:jc w:val="center"/>
        </w:pPr>
        <w:r>
          <w:fldChar w:fldCharType="begin"/>
        </w:r>
        <w:r>
          <w:instrText xml:space="preserve"> PAGE   \* MERGEFORMAT </w:instrText>
        </w:r>
        <w:r>
          <w:fldChar w:fldCharType="separate"/>
        </w:r>
        <w:r w:rsidR="00604FC6">
          <w:rPr>
            <w:noProof/>
          </w:rPr>
          <w:t>24</w:t>
        </w:r>
        <w:r>
          <w:rPr>
            <w:noProof/>
          </w:rPr>
          <w:fldChar w:fldCharType="end"/>
        </w:r>
      </w:p>
    </w:sdtContent>
  </w:sdt>
  <w:p w14:paraId="1250A3D9" w14:textId="77777777" w:rsidR="00F74F06" w:rsidRDefault="00F7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447E3"/>
    <w:multiLevelType w:val="hybridMultilevel"/>
    <w:tmpl w:val="4A261C30"/>
    <w:lvl w:ilvl="0" w:tplc="D0F03BA2">
      <w:start w:val="5"/>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5FD5C30"/>
    <w:multiLevelType w:val="hybridMultilevel"/>
    <w:tmpl w:val="47B0BC74"/>
    <w:lvl w:ilvl="0" w:tplc="A378BE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31B1E"/>
    <w:multiLevelType w:val="hybridMultilevel"/>
    <w:tmpl w:val="CB46DA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02A7"/>
    <w:multiLevelType w:val="hybridMultilevel"/>
    <w:tmpl w:val="65D63766"/>
    <w:lvl w:ilvl="0" w:tplc="846C94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954EDD"/>
    <w:multiLevelType w:val="multilevel"/>
    <w:tmpl w:val="6CAC8BC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2324105"/>
    <w:multiLevelType w:val="hybridMultilevel"/>
    <w:tmpl w:val="BD304E5C"/>
    <w:lvl w:ilvl="0" w:tplc="DE2CBB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E47704"/>
    <w:multiLevelType w:val="hybridMultilevel"/>
    <w:tmpl w:val="BFB64902"/>
    <w:lvl w:ilvl="0" w:tplc="76B8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76604"/>
    <w:multiLevelType w:val="hybridMultilevel"/>
    <w:tmpl w:val="CB6698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A13666"/>
    <w:multiLevelType w:val="hybridMultilevel"/>
    <w:tmpl w:val="0DD6211C"/>
    <w:lvl w:ilvl="0" w:tplc="4F5AC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9D6499"/>
    <w:multiLevelType w:val="hybridMultilevel"/>
    <w:tmpl w:val="0E2E451C"/>
    <w:lvl w:ilvl="0" w:tplc="BDA04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AE7038"/>
    <w:multiLevelType w:val="hybridMultilevel"/>
    <w:tmpl w:val="49C6A6FE"/>
    <w:lvl w:ilvl="0" w:tplc="0EE82F4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11077D"/>
    <w:multiLevelType w:val="multilevel"/>
    <w:tmpl w:val="02ACC28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BD632E9"/>
    <w:multiLevelType w:val="hybridMultilevel"/>
    <w:tmpl w:val="BC78FC44"/>
    <w:lvl w:ilvl="0" w:tplc="4C18BFEE">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FA14108"/>
    <w:multiLevelType w:val="hybridMultilevel"/>
    <w:tmpl w:val="C1D81DDE"/>
    <w:lvl w:ilvl="0" w:tplc="A21EC7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6823382"/>
    <w:multiLevelType w:val="multilevel"/>
    <w:tmpl w:val="5EA2E948"/>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FCD3286"/>
    <w:multiLevelType w:val="hybridMultilevel"/>
    <w:tmpl w:val="479474C4"/>
    <w:lvl w:ilvl="0" w:tplc="5C1C1A54">
      <w:start w:val="2"/>
      <w:numFmt w:val="decimal"/>
      <w:lvlText w:val="%1."/>
      <w:lvlJc w:val="left"/>
      <w:pPr>
        <w:ind w:left="0" w:firstLine="720"/>
      </w:pPr>
      <w:rPr>
        <w:rFonts w:eastAsia="SimSun" w:cs="Times New Roman"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E07715"/>
    <w:multiLevelType w:val="hybridMultilevel"/>
    <w:tmpl w:val="050CFA7C"/>
    <w:lvl w:ilvl="0" w:tplc="91586110">
      <w:start w:val="2"/>
      <w:numFmt w:val="decimal"/>
      <w:lvlText w:val="%1."/>
      <w:lvlJc w:val="left"/>
      <w:pPr>
        <w:ind w:left="0" w:firstLine="720"/>
      </w:pPr>
      <w:rPr>
        <w:rFonts w:eastAsia="SimSun" w:cs="Times New Roman"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5D2BC7"/>
    <w:multiLevelType w:val="hybridMultilevel"/>
    <w:tmpl w:val="FA82F7B2"/>
    <w:lvl w:ilvl="0" w:tplc="3B2E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833E81"/>
    <w:multiLevelType w:val="hybridMultilevel"/>
    <w:tmpl w:val="493A847C"/>
    <w:lvl w:ilvl="0" w:tplc="BDA04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560DC0"/>
    <w:multiLevelType w:val="hybridMultilevel"/>
    <w:tmpl w:val="B650A492"/>
    <w:lvl w:ilvl="0" w:tplc="CAEE9D4A">
      <w:start w:val="2"/>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C8541B"/>
    <w:multiLevelType w:val="hybridMultilevel"/>
    <w:tmpl w:val="9F1A580A"/>
    <w:lvl w:ilvl="0" w:tplc="3C78289E">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7EF43D78"/>
    <w:multiLevelType w:val="hybridMultilevel"/>
    <w:tmpl w:val="C174F1F6"/>
    <w:lvl w:ilvl="0" w:tplc="BDA0450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1958900">
    <w:abstractNumId w:val="0"/>
  </w:num>
  <w:num w:numId="2" w16cid:durableId="1077019356">
    <w:abstractNumId w:val="12"/>
  </w:num>
  <w:num w:numId="3" w16cid:durableId="794635466">
    <w:abstractNumId w:val="2"/>
  </w:num>
  <w:num w:numId="4" w16cid:durableId="1478111274">
    <w:abstractNumId w:val="6"/>
  </w:num>
  <w:num w:numId="5" w16cid:durableId="668992873">
    <w:abstractNumId w:val="1"/>
  </w:num>
  <w:num w:numId="6" w16cid:durableId="1274633418">
    <w:abstractNumId w:val="10"/>
  </w:num>
  <w:num w:numId="7" w16cid:durableId="1776822213">
    <w:abstractNumId w:val="13"/>
  </w:num>
  <w:num w:numId="8" w16cid:durableId="867912037">
    <w:abstractNumId w:val="7"/>
  </w:num>
  <w:num w:numId="9" w16cid:durableId="1942956417">
    <w:abstractNumId w:val="18"/>
  </w:num>
  <w:num w:numId="10" w16cid:durableId="1981500021">
    <w:abstractNumId w:val="21"/>
  </w:num>
  <w:num w:numId="11" w16cid:durableId="658579934">
    <w:abstractNumId w:val="9"/>
  </w:num>
  <w:num w:numId="12" w16cid:durableId="239213022">
    <w:abstractNumId w:val="8"/>
  </w:num>
  <w:num w:numId="13" w16cid:durableId="2004117571">
    <w:abstractNumId w:val="17"/>
  </w:num>
  <w:num w:numId="14" w16cid:durableId="263154962">
    <w:abstractNumId w:val="4"/>
  </w:num>
  <w:num w:numId="15" w16cid:durableId="205918700">
    <w:abstractNumId w:val="11"/>
  </w:num>
  <w:num w:numId="16" w16cid:durableId="511184848">
    <w:abstractNumId w:val="3"/>
  </w:num>
  <w:num w:numId="17" w16cid:durableId="403453986">
    <w:abstractNumId w:val="16"/>
  </w:num>
  <w:num w:numId="18" w16cid:durableId="585501114">
    <w:abstractNumId w:val="15"/>
  </w:num>
  <w:num w:numId="19" w16cid:durableId="826820702">
    <w:abstractNumId w:val="19"/>
  </w:num>
  <w:num w:numId="20" w16cid:durableId="616182125">
    <w:abstractNumId w:val="20"/>
  </w:num>
  <w:num w:numId="21" w16cid:durableId="1951007099">
    <w:abstractNumId w:val="14"/>
  </w:num>
  <w:num w:numId="22" w16cid:durableId="1381394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D9"/>
    <w:rsid w:val="00001273"/>
    <w:rsid w:val="00002013"/>
    <w:rsid w:val="00006E40"/>
    <w:rsid w:val="00007467"/>
    <w:rsid w:val="00007B18"/>
    <w:rsid w:val="00007F29"/>
    <w:rsid w:val="00011E9E"/>
    <w:rsid w:val="0001356E"/>
    <w:rsid w:val="0001488A"/>
    <w:rsid w:val="00016C94"/>
    <w:rsid w:val="00017D5C"/>
    <w:rsid w:val="00020066"/>
    <w:rsid w:val="000201E4"/>
    <w:rsid w:val="00020BCA"/>
    <w:rsid w:val="0002129E"/>
    <w:rsid w:val="000219E3"/>
    <w:rsid w:val="0002349E"/>
    <w:rsid w:val="00023B8B"/>
    <w:rsid w:val="00025231"/>
    <w:rsid w:val="00027D0B"/>
    <w:rsid w:val="00030A1F"/>
    <w:rsid w:val="0003168B"/>
    <w:rsid w:val="00032264"/>
    <w:rsid w:val="00032459"/>
    <w:rsid w:val="00032731"/>
    <w:rsid w:val="00032E6B"/>
    <w:rsid w:val="00034E4F"/>
    <w:rsid w:val="00035423"/>
    <w:rsid w:val="00035D3D"/>
    <w:rsid w:val="00037E87"/>
    <w:rsid w:val="00037F48"/>
    <w:rsid w:val="00040B4A"/>
    <w:rsid w:val="00041040"/>
    <w:rsid w:val="00041A86"/>
    <w:rsid w:val="00042731"/>
    <w:rsid w:val="00042C3B"/>
    <w:rsid w:val="00044F58"/>
    <w:rsid w:val="00045118"/>
    <w:rsid w:val="00045A89"/>
    <w:rsid w:val="00046B32"/>
    <w:rsid w:val="0004783E"/>
    <w:rsid w:val="000509C6"/>
    <w:rsid w:val="00050AC1"/>
    <w:rsid w:val="00051676"/>
    <w:rsid w:val="00051877"/>
    <w:rsid w:val="00051A19"/>
    <w:rsid w:val="00051F9F"/>
    <w:rsid w:val="00052C9C"/>
    <w:rsid w:val="0005450A"/>
    <w:rsid w:val="000547B1"/>
    <w:rsid w:val="0005563A"/>
    <w:rsid w:val="000557C1"/>
    <w:rsid w:val="00055B9E"/>
    <w:rsid w:val="00056201"/>
    <w:rsid w:val="000573B5"/>
    <w:rsid w:val="00057754"/>
    <w:rsid w:val="000578AC"/>
    <w:rsid w:val="00060D86"/>
    <w:rsid w:val="00060EB5"/>
    <w:rsid w:val="000638BB"/>
    <w:rsid w:val="00064783"/>
    <w:rsid w:val="00065E7E"/>
    <w:rsid w:val="00066417"/>
    <w:rsid w:val="000664E6"/>
    <w:rsid w:val="00066D30"/>
    <w:rsid w:val="00071273"/>
    <w:rsid w:val="000729D1"/>
    <w:rsid w:val="000734A3"/>
    <w:rsid w:val="00075133"/>
    <w:rsid w:val="000751BA"/>
    <w:rsid w:val="00075853"/>
    <w:rsid w:val="0007621E"/>
    <w:rsid w:val="0007674D"/>
    <w:rsid w:val="00080C15"/>
    <w:rsid w:val="00081042"/>
    <w:rsid w:val="00082068"/>
    <w:rsid w:val="00082296"/>
    <w:rsid w:val="00084005"/>
    <w:rsid w:val="000841D6"/>
    <w:rsid w:val="000848A3"/>
    <w:rsid w:val="00084EF4"/>
    <w:rsid w:val="00085AA3"/>
    <w:rsid w:val="00086166"/>
    <w:rsid w:val="00087360"/>
    <w:rsid w:val="00090ABA"/>
    <w:rsid w:val="0009281A"/>
    <w:rsid w:val="000930A1"/>
    <w:rsid w:val="000938BF"/>
    <w:rsid w:val="000949BB"/>
    <w:rsid w:val="0009566C"/>
    <w:rsid w:val="00095C0D"/>
    <w:rsid w:val="00095E67"/>
    <w:rsid w:val="00096167"/>
    <w:rsid w:val="0009665F"/>
    <w:rsid w:val="00097C22"/>
    <w:rsid w:val="000A09F5"/>
    <w:rsid w:val="000A0C44"/>
    <w:rsid w:val="000A16AD"/>
    <w:rsid w:val="000A1F2D"/>
    <w:rsid w:val="000A48A0"/>
    <w:rsid w:val="000A5282"/>
    <w:rsid w:val="000A6060"/>
    <w:rsid w:val="000A63FE"/>
    <w:rsid w:val="000A6C12"/>
    <w:rsid w:val="000A71E2"/>
    <w:rsid w:val="000A7407"/>
    <w:rsid w:val="000A76F3"/>
    <w:rsid w:val="000A7C47"/>
    <w:rsid w:val="000B0EA9"/>
    <w:rsid w:val="000B16B9"/>
    <w:rsid w:val="000B2F18"/>
    <w:rsid w:val="000B38CE"/>
    <w:rsid w:val="000B39BC"/>
    <w:rsid w:val="000B3B0A"/>
    <w:rsid w:val="000B3F71"/>
    <w:rsid w:val="000B41B1"/>
    <w:rsid w:val="000B5D9E"/>
    <w:rsid w:val="000B7B6D"/>
    <w:rsid w:val="000C007A"/>
    <w:rsid w:val="000C0119"/>
    <w:rsid w:val="000C0D80"/>
    <w:rsid w:val="000C154B"/>
    <w:rsid w:val="000C1F11"/>
    <w:rsid w:val="000C1F12"/>
    <w:rsid w:val="000C5395"/>
    <w:rsid w:val="000C5E6F"/>
    <w:rsid w:val="000C66A8"/>
    <w:rsid w:val="000C78E8"/>
    <w:rsid w:val="000D0C37"/>
    <w:rsid w:val="000D3AED"/>
    <w:rsid w:val="000D4071"/>
    <w:rsid w:val="000D5B37"/>
    <w:rsid w:val="000D5DE2"/>
    <w:rsid w:val="000D6878"/>
    <w:rsid w:val="000D7300"/>
    <w:rsid w:val="000D7CB1"/>
    <w:rsid w:val="000D7D0C"/>
    <w:rsid w:val="000D7D19"/>
    <w:rsid w:val="000E01E8"/>
    <w:rsid w:val="000E0CA7"/>
    <w:rsid w:val="000E14EF"/>
    <w:rsid w:val="000E2871"/>
    <w:rsid w:val="000E403B"/>
    <w:rsid w:val="000E4C10"/>
    <w:rsid w:val="000E5616"/>
    <w:rsid w:val="000E606B"/>
    <w:rsid w:val="000E6A3B"/>
    <w:rsid w:val="000E730C"/>
    <w:rsid w:val="000E7612"/>
    <w:rsid w:val="000E79EA"/>
    <w:rsid w:val="000F09DB"/>
    <w:rsid w:val="000F1DEB"/>
    <w:rsid w:val="000F2901"/>
    <w:rsid w:val="000F3798"/>
    <w:rsid w:val="000F4A6D"/>
    <w:rsid w:val="000F4E94"/>
    <w:rsid w:val="000F5F5E"/>
    <w:rsid w:val="000F5F84"/>
    <w:rsid w:val="000F6573"/>
    <w:rsid w:val="000F67A4"/>
    <w:rsid w:val="000F7F55"/>
    <w:rsid w:val="00100D7B"/>
    <w:rsid w:val="001015AA"/>
    <w:rsid w:val="00101FD2"/>
    <w:rsid w:val="00103EEB"/>
    <w:rsid w:val="001040FE"/>
    <w:rsid w:val="00105B8D"/>
    <w:rsid w:val="00105D5C"/>
    <w:rsid w:val="001067B3"/>
    <w:rsid w:val="001101AD"/>
    <w:rsid w:val="0011067E"/>
    <w:rsid w:val="00111D6E"/>
    <w:rsid w:val="00112379"/>
    <w:rsid w:val="00113A34"/>
    <w:rsid w:val="001143F7"/>
    <w:rsid w:val="00115A5F"/>
    <w:rsid w:val="001162A9"/>
    <w:rsid w:val="00116417"/>
    <w:rsid w:val="0011682E"/>
    <w:rsid w:val="0012059C"/>
    <w:rsid w:val="00121A2F"/>
    <w:rsid w:val="00122258"/>
    <w:rsid w:val="00122D17"/>
    <w:rsid w:val="00123D9A"/>
    <w:rsid w:val="00124041"/>
    <w:rsid w:val="00124C64"/>
    <w:rsid w:val="00126D4E"/>
    <w:rsid w:val="00126F67"/>
    <w:rsid w:val="0013086D"/>
    <w:rsid w:val="00131596"/>
    <w:rsid w:val="001320C0"/>
    <w:rsid w:val="0013268B"/>
    <w:rsid w:val="00133E0C"/>
    <w:rsid w:val="00137377"/>
    <w:rsid w:val="00140E0E"/>
    <w:rsid w:val="00141302"/>
    <w:rsid w:val="00141BF1"/>
    <w:rsid w:val="00142460"/>
    <w:rsid w:val="0014347A"/>
    <w:rsid w:val="00143B39"/>
    <w:rsid w:val="00143B59"/>
    <w:rsid w:val="0014492A"/>
    <w:rsid w:val="001449C0"/>
    <w:rsid w:val="00145164"/>
    <w:rsid w:val="00146A8E"/>
    <w:rsid w:val="001500A6"/>
    <w:rsid w:val="00151867"/>
    <w:rsid w:val="001523B1"/>
    <w:rsid w:val="001533D8"/>
    <w:rsid w:val="0015612D"/>
    <w:rsid w:val="0015634F"/>
    <w:rsid w:val="00160F5D"/>
    <w:rsid w:val="001615FC"/>
    <w:rsid w:val="00161806"/>
    <w:rsid w:val="00163FDC"/>
    <w:rsid w:val="001643A0"/>
    <w:rsid w:val="001662A1"/>
    <w:rsid w:val="00167221"/>
    <w:rsid w:val="00170534"/>
    <w:rsid w:val="0017069A"/>
    <w:rsid w:val="001712C6"/>
    <w:rsid w:val="00172665"/>
    <w:rsid w:val="00172DEB"/>
    <w:rsid w:val="001748EC"/>
    <w:rsid w:val="001755C0"/>
    <w:rsid w:val="001767B3"/>
    <w:rsid w:val="00176944"/>
    <w:rsid w:val="00176E86"/>
    <w:rsid w:val="0017738A"/>
    <w:rsid w:val="001775FC"/>
    <w:rsid w:val="00177B57"/>
    <w:rsid w:val="001828BD"/>
    <w:rsid w:val="00182AE2"/>
    <w:rsid w:val="00183397"/>
    <w:rsid w:val="00184FF6"/>
    <w:rsid w:val="00186682"/>
    <w:rsid w:val="0018797E"/>
    <w:rsid w:val="00192804"/>
    <w:rsid w:val="00193D0F"/>
    <w:rsid w:val="00193F3A"/>
    <w:rsid w:val="00194D13"/>
    <w:rsid w:val="00195C27"/>
    <w:rsid w:val="001961C3"/>
    <w:rsid w:val="001A1194"/>
    <w:rsid w:val="001A165C"/>
    <w:rsid w:val="001A19FA"/>
    <w:rsid w:val="001A2510"/>
    <w:rsid w:val="001A2866"/>
    <w:rsid w:val="001A2F44"/>
    <w:rsid w:val="001A56DC"/>
    <w:rsid w:val="001B1311"/>
    <w:rsid w:val="001B1B27"/>
    <w:rsid w:val="001B242C"/>
    <w:rsid w:val="001B276A"/>
    <w:rsid w:val="001B2B76"/>
    <w:rsid w:val="001B4EF7"/>
    <w:rsid w:val="001B5707"/>
    <w:rsid w:val="001B5866"/>
    <w:rsid w:val="001B58AC"/>
    <w:rsid w:val="001B59B2"/>
    <w:rsid w:val="001B6D1B"/>
    <w:rsid w:val="001B7025"/>
    <w:rsid w:val="001B7531"/>
    <w:rsid w:val="001B7F7A"/>
    <w:rsid w:val="001C05C3"/>
    <w:rsid w:val="001C08D8"/>
    <w:rsid w:val="001C0A0B"/>
    <w:rsid w:val="001C192A"/>
    <w:rsid w:val="001C2968"/>
    <w:rsid w:val="001C42EE"/>
    <w:rsid w:val="001C62A9"/>
    <w:rsid w:val="001C6525"/>
    <w:rsid w:val="001C6569"/>
    <w:rsid w:val="001C694F"/>
    <w:rsid w:val="001C695B"/>
    <w:rsid w:val="001C6CA1"/>
    <w:rsid w:val="001C70D9"/>
    <w:rsid w:val="001C76BF"/>
    <w:rsid w:val="001C789D"/>
    <w:rsid w:val="001C7ECE"/>
    <w:rsid w:val="001D0BB8"/>
    <w:rsid w:val="001D174C"/>
    <w:rsid w:val="001D1836"/>
    <w:rsid w:val="001D1D22"/>
    <w:rsid w:val="001D20A7"/>
    <w:rsid w:val="001D3CB3"/>
    <w:rsid w:val="001D5006"/>
    <w:rsid w:val="001D5B73"/>
    <w:rsid w:val="001D7280"/>
    <w:rsid w:val="001E04B9"/>
    <w:rsid w:val="001E0B03"/>
    <w:rsid w:val="001E1F93"/>
    <w:rsid w:val="001E3358"/>
    <w:rsid w:val="001E4337"/>
    <w:rsid w:val="001E5DF8"/>
    <w:rsid w:val="001E602C"/>
    <w:rsid w:val="001E76C1"/>
    <w:rsid w:val="001F0017"/>
    <w:rsid w:val="001F076F"/>
    <w:rsid w:val="001F1B27"/>
    <w:rsid w:val="001F290F"/>
    <w:rsid w:val="001F444E"/>
    <w:rsid w:val="001F7D3D"/>
    <w:rsid w:val="00201228"/>
    <w:rsid w:val="0020136B"/>
    <w:rsid w:val="00201491"/>
    <w:rsid w:val="00201CC8"/>
    <w:rsid w:val="002034AC"/>
    <w:rsid w:val="0020534C"/>
    <w:rsid w:val="00205769"/>
    <w:rsid w:val="00206F11"/>
    <w:rsid w:val="00207D7C"/>
    <w:rsid w:val="00207E9B"/>
    <w:rsid w:val="00210CD6"/>
    <w:rsid w:val="00210D55"/>
    <w:rsid w:val="00212088"/>
    <w:rsid w:val="002137EA"/>
    <w:rsid w:val="00214D35"/>
    <w:rsid w:val="00215438"/>
    <w:rsid w:val="00215822"/>
    <w:rsid w:val="00216469"/>
    <w:rsid w:val="00217ADA"/>
    <w:rsid w:val="00217B36"/>
    <w:rsid w:val="00220296"/>
    <w:rsid w:val="002225BB"/>
    <w:rsid w:val="00222F27"/>
    <w:rsid w:val="0022391E"/>
    <w:rsid w:val="0022521C"/>
    <w:rsid w:val="0022569E"/>
    <w:rsid w:val="00226834"/>
    <w:rsid w:val="002274D8"/>
    <w:rsid w:val="002278CF"/>
    <w:rsid w:val="00227E6D"/>
    <w:rsid w:val="00231515"/>
    <w:rsid w:val="00232EBF"/>
    <w:rsid w:val="00232F15"/>
    <w:rsid w:val="002333B2"/>
    <w:rsid w:val="0023365D"/>
    <w:rsid w:val="0023426E"/>
    <w:rsid w:val="00234364"/>
    <w:rsid w:val="002343FB"/>
    <w:rsid w:val="002357D2"/>
    <w:rsid w:val="00235C26"/>
    <w:rsid w:val="00235F69"/>
    <w:rsid w:val="00236B67"/>
    <w:rsid w:val="00236E07"/>
    <w:rsid w:val="00240A1B"/>
    <w:rsid w:val="00241258"/>
    <w:rsid w:val="00242EDD"/>
    <w:rsid w:val="00243122"/>
    <w:rsid w:val="0024492D"/>
    <w:rsid w:val="002451CA"/>
    <w:rsid w:val="0024585B"/>
    <w:rsid w:val="00245E08"/>
    <w:rsid w:val="00246BD5"/>
    <w:rsid w:val="0024732D"/>
    <w:rsid w:val="00250122"/>
    <w:rsid w:val="00252142"/>
    <w:rsid w:val="00252B32"/>
    <w:rsid w:val="00252FB0"/>
    <w:rsid w:val="00254188"/>
    <w:rsid w:val="002543BE"/>
    <w:rsid w:val="002543E1"/>
    <w:rsid w:val="00254885"/>
    <w:rsid w:val="00257C9C"/>
    <w:rsid w:val="00260999"/>
    <w:rsid w:val="00261575"/>
    <w:rsid w:val="002626A5"/>
    <w:rsid w:val="0026317B"/>
    <w:rsid w:val="00263700"/>
    <w:rsid w:val="00264403"/>
    <w:rsid w:val="00265DB3"/>
    <w:rsid w:val="002664B1"/>
    <w:rsid w:val="00267296"/>
    <w:rsid w:val="002672E7"/>
    <w:rsid w:val="002700FC"/>
    <w:rsid w:val="00271080"/>
    <w:rsid w:val="00271C97"/>
    <w:rsid w:val="00272488"/>
    <w:rsid w:val="00272E0B"/>
    <w:rsid w:val="00273106"/>
    <w:rsid w:val="002731D6"/>
    <w:rsid w:val="00273260"/>
    <w:rsid w:val="00273DDE"/>
    <w:rsid w:val="00274154"/>
    <w:rsid w:val="00274B21"/>
    <w:rsid w:val="002757F9"/>
    <w:rsid w:val="002758C5"/>
    <w:rsid w:val="00275BE1"/>
    <w:rsid w:val="00280015"/>
    <w:rsid w:val="002800AD"/>
    <w:rsid w:val="0028045E"/>
    <w:rsid w:val="002809C0"/>
    <w:rsid w:val="00280C70"/>
    <w:rsid w:val="0028188E"/>
    <w:rsid w:val="002819B9"/>
    <w:rsid w:val="00281BDC"/>
    <w:rsid w:val="002824DE"/>
    <w:rsid w:val="002830D3"/>
    <w:rsid w:val="002846C6"/>
    <w:rsid w:val="002846E0"/>
    <w:rsid w:val="00285317"/>
    <w:rsid w:val="002854F8"/>
    <w:rsid w:val="0028554F"/>
    <w:rsid w:val="0028620E"/>
    <w:rsid w:val="00286CF2"/>
    <w:rsid w:val="00290AA2"/>
    <w:rsid w:val="00290AED"/>
    <w:rsid w:val="00290D66"/>
    <w:rsid w:val="00290EBA"/>
    <w:rsid w:val="00291703"/>
    <w:rsid w:val="00291C47"/>
    <w:rsid w:val="00291D1B"/>
    <w:rsid w:val="00293867"/>
    <w:rsid w:val="00294575"/>
    <w:rsid w:val="002954AC"/>
    <w:rsid w:val="00297783"/>
    <w:rsid w:val="002979B0"/>
    <w:rsid w:val="002A0106"/>
    <w:rsid w:val="002A184A"/>
    <w:rsid w:val="002A44FA"/>
    <w:rsid w:val="002A44FE"/>
    <w:rsid w:val="002A473C"/>
    <w:rsid w:val="002A65E6"/>
    <w:rsid w:val="002A6A93"/>
    <w:rsid w:val="002A6BFB"/>
    <w:rsid w:val="002A7E5A"/>
    <w:rsid w:val="002B0114"/>
    <w:rsid w:val="002B017E"/>
    <w:rsid w:val="002B15C7"/>
    <w:rsid w:val="002B1CB7"/>
    <w:rsid w:val="002B3B5E"/>
    <w:rsid w:val="002B5FD7"/>
    <w:rsid w:val="002B6DA0"/>
    <w:rsid w:val="002B6F1F"/>
    <w:rsid w:val="002B7252"/>
    <w:rsid w:val="002C04D9"/>
    <w:rsid w:val="002C42D5"/>
    <w:rsid w:val="002C47CF"/>
    <w:rsid w:val="002C4FFB"/>
    <w:rsid w:val="002C535C"/>
    <w:rsid w:val="002C5E7B"/>
    <w:rsid w:val="002C708F"/>
    <w:rsid w:val="002D05E3"/>
    <w:rsid w:val="002D0CBC"/>
    <w:rsid w:val="002D2940"/>
    <w:rsid w:val="002D2EBE"/>
    <w:rsid w:val="002D4C82"/>
    <w:rsid w:val="002D6F7B"/>
    <w:rsid w:val="002D7781"/>
    <w:rsid w:val="002E046D"/>
    <w:rsid w:val="002E2199"/>
    <w:rsid w:val="002E31A3"/>
    <w:rsid w:val="002E4888"/>
    <w:rsid w:val="002E4AA7"/>
    <w:rsid w:val="002E548A"/>
    <w:rsid w:val="002E5AFF"/>
    <w:rsid w:val="002E60C6"/>
    <w:rsid w:val="002E6111"/>
    <w:rsid w:val="002E614C"/>
    <w:rsid w:val="002F0503"/>
    <w:rsid w:val="002F2546"/>
    <w:rsid w:val="002F2608"/>
    <w:rsid w:val="002F28CE"/>
    <w:rsid w:val="002F2D1F"/>
    <w:rsid w:val="002F3594"/>
    <w:rsid w:val="002F42B5"/>
    <w:rsid w:val="002F4D07"/>
    <w:rsid w:val="002F54B7"/>
    <w:rsid w:val="002F5715"/>
    <w:rsid w:val="002F61A7"/>
    <w:rsid w:val="002F625E"/>
    <w:rsid w:val="002F6B1E"/>
    <w:rsid w:val="002F74B0"/>
    <w:rsid w:val="003013D5"/>
    <w:rsid w:val="0030386C"/>
    <w:rsid w:val="00307082"/>
    <w:rsid w:val="0031056C"/>
    <w:rsid w:val="00310A3F"/>
    <w:rsid w:val="00311D74"/>
    <w:rsid w:val="00312151"/>
    <w:rsid w:val="003126BB"/>
    <w:rsid w:val="003137A7"/>
    <w:rsid w:val="00313966"/>
    <w:rsid w:val="00313D85"/>
    <w:rsid w:val="00314358"/>
    <w:rsid w:val="00314905"/>
    <w:rsid w:val="003152C6"/>
    <w:rsid w:val="0031535E"/>
    <w:rsid w:val="00315F11"/>
    <w:rsid w:val="00317AF2"/>
    <w:rsid w:val="003217A2"/>
    <w:rsid w:val="00321FAD"/>
    <w:rsid w:val="003236DC"/>
    <w:rsid w:val="0032401B"/>
    <w:rsid w:val="003242E9"/>
    <w:rsid w:val="003246CA"/>
    <w:rsid w:val="003255F2"/>
    <w:rsid w:val="00326B95"/>
    <w:rsid w:val="00327237"/>
    <w:rsid w:val="00332DC6"/>
    <w:rsid w:val="00333FEC"/>
    <w:rsid w:val="0033482B"/>
    <w:rsid w:val="00334D8D"/>
    <w:rsid w:val="003350E7"/>
    <w:rsid w:val="003409DD"/>
    <w:rsid w:val="00340E99"/>
    <w:rsid w:val="0034182A"/>
    <w:rsid w:val="00341BF2"/>
    <w:rsid w:val="0034214C"/>
    <w:rsid w:val="00343E8A"/>
    <w:rsid w:val="00343F15"/>
    <w:rsid w:val="00344E1A"/>
    <w:rsid w:val="003450DA"/>
    <w:rsid w:val="003457BC"/>
    <w:rsid w:val="00347594"/>
    <w:rsid w:val="00347846"/>
    <w:rsid w:val="00350ADF"/>
    <w:rsid w:val="00350E99"/>
    <w:rsid w:val="00352FC5"/>
    <w:rsid w:val="00353474"/>
    <w:rsid w:val="003545E9"/>
    <w:rsid w:val="00354637"/>
    <w:rsid w:val="00354D90"/>
    <w:rsid w:val="00355C79"/>
    <w:rsid w:val="00356170"/>
    <w:rsid w:val="0036023B"/>
    <w:rsid w:val="00360580"/>
    <w:rsid w:val="00361F48"/>
    <w:rsid w:val="00362A20"/>
    <w:rsid w:val="0036330B"/>
    <w:rsid w:val="00363AE1"/>
    <w:rsid w:val="00363CE0"/>
    <w:rsid w:val="00363D22"/>
    <w:rsid w:val="00364668"/>
    <w:rsid w:val="00364CC4"/>
    <w:rsid w:val="003667A9"/>
    <w:rsid w:val="00366E43"/>
    <w:rsid w:val="00367192"/>
    <w:rsid w:val="00371370"/>
    <w:rsid w:val="003719B8"/>
    <w:rsid w:val="00372105"/>
    <w:rsid w:val="00374748"/>
    <w:rsid w:val="00375E17"/>
    <w:rsid w:val="00376DE4"/>
    <w:rsid w:val="00377BCC"/>
    <w:rsid w:val="00377DF3"/>
    <w:rsid w:val="00381C5A"/>
    <w:rsid w:val="0038423E"/>
    <w:rsid w:val="0038582F"/>
    <w:rsid w:val="00385A12"/>
    <w:rsid w:val="00385B32"/>
    <w:rsid w:val="003866A5"/>
    <w:rsid w:val="00386F35"/>
    <w:rsid w:val="003877BC"/>
    <w:rsid w:val="00390202"/>
    <w:rsid w:val="003906E1"/>
    <w:rsid w:val="00391622"/>
    <w:rsid w:val="003924E6"/>
    <w:rsid w:val="003946C0"/>
    <w:rsid w:val="00394FDE"/>
    <w:rsid w:val="00395243"/>
    <w:rsid w:val="003954F5"/>
    <w:rsid w:val="00395524"/>
    <w:rsid w:val="00395763"/>
    <w:rsid w:val="003960DE"/>
    <w:rsid w:val="00396DCF"/>
    <w:rsid w:val="003A0B66"/>
    <w:rsid w:val="003A1C67"/>
    <w:rsid w:val="003A1DF6"/>
    <w:rsid w:val="003A36B0"/>
    <w:rsid w:val="003A40BD"/>
    <w:rsid w:val="003A4A40"/>
    <w:rsid w:val="003A59D1"/>
    <w:rsid w:val="003A60A8"/>
    <w:rsid w:val="003A6303"/>
    <w:rsid w:val="003A65D6"/>
    <w:rsid w:val="003A7A04"/>
    <w:rsid w:val="003B0B8E"/>
    <w:rsid w:val="003B0E77"/>
    <w:rsid w:val="003B2FB3"/>
    <w:rsid w:val="003B46CF"/>
    <w:rsid w:val="003B4CCC"/>
    <w:rsid w:val="003B5B3A"/>
    <w:rsid w:val="003B6579"/>
    <w:rsid w:val="003B6DC0"/>
    <w:rsid w:val="003B7D37"/>
    <w:rsid w:val="003C0EE2"/>
    <w:rsid w:val="003C1971"/>
    <w:rsid w:val="003C19FC"/>
    <w:rsid w:val="003C1AC0"/>
    <w:rsid w:val="003C2D80"/>
    <w:rsid w:val="003C3356"/>
    <w:rsid w:val="003C37BE"/>
    <w:rsid w:val="003C3AEF"/>
    <w:rsid w:val="003C3B88"/>
    <w:rsid w:val="003C454E"/>
    <w:rsid w:val="003C4EAB"/>
    <w:rsid w:val="003C5559"/>
    <w:rsid w:val="003D0870"/>
    <w:rsid w:val="003D0922"/>
    <w:rsid w:val="003D0A4F"/>
    <w:rsid w:val="003D13B7"/>
    <w:rsid w:val="003D19DF"/>
    <w:rsid w:val="003D2E40"/>
    <w:rsid w:val="003D7E2D"/>
    <w:rsid w:val="003D7F48"/>
    <w:rsid w:val="003E0672"/>
    <w:rsid w:val="003E107E"/>
    <w:rsid w:val="003E325E"/>
    <w:rsid w:val="003E3EAB"/>
    <w:rsid w:val="003E4092"/>
    <w:rsid w:val="003E443B"/>
    <w:rsid w:val="003E4B9E"/>
    <w:rsid w:val="003E4D80"/>
    <w:rsid w:val="003E6AC8"/>
    <w:rsid w:val="003E72B2"/>
    <w:rsid w:val="003E7E0D"/>
    <w:rsid w:val="003F1B56"/>
    <w:rsid w:val="003F2147"/>
    <w:rsid w:val="003F27D6"/>
    <w:rsid w:val="003F3123"/>
    <w:rsid w:val="003F3170"/>
    <w:rsid w:val="003F395C"/>
    <w:rsid w:val="003F5922"/>
    <w:rsid w:val="003F614E"/>
    <w:rsid w:val="003F66F9"/>
    <w:rsid w:val="003F6894"/>
    <w:rsid w:val="003F6F29"/>
    <w:rsid w:val="003F7090"/>
    <w:rsid w:val="003F76EA"/>
    <w:rsid w:val="003F7BCC"/>
    <w:rsid w:val="004005C8"/>
    <w:rsid w:val="00400E1B"/>
    <w:rsid w:val="00400F06"/>
    <w:rsid w:val="004025CE"/>
    <w:rsid w:val="0040331C"/>
    <w:rsid w:val="00404029"/>
    <w:rsid w:val="00404EB5"/>
    <w:rsid w:val="00405042"/>
    <w:rsid w:val="004052E4"/>
    <w:rsid w:val="00405428"/>
    <w:rsid w:val="00406054"/>
    <w:rsid w:val="004061C8"/>
    <w:rsid w:val="004061E6"/>
    <w:rsid w:val="00406D74"/>
    <w:rsid w:val="004078C6"/>
    <w:rsid w:val="00410C17"/>
    <w:rsid w:val="00410C63"/>
    <w:rsid w:val="004111F4"/>
    <w:rsid w:val="00411C3F"/>
    <w:rsid w:val="004125C9"/>
    <w:rsid w:val="004138BD"/>
    <w:rsid w:val="00420B05"/>
    <w:rsid w:val="00420D0F"/>
    <w:rsid w:val="00420FF7"/>
    <w:rsid w:val="0042137F"/>
    <w:rsid w:val="00423473"/>
    <w:rsid w:val="004242A3"/>
    <w:rsid w:val="004243B0"/>
    <w:rsid w:val="004245CD"/>
    <w:rsid w:val="00424820"/>
    <w:rsid w:val="00424995"/>
    <w:rsid w:val="004249AB"/>
    <w:rsid w:val="00424BB8"/>
    <w:rsid w:val="004257B7"/>
    <w:rsid w:val="00425C26"/>
    <w:rsid w:val="00426015"/>
    <w:rsid w:val="0042693A"/>
    <w:rsid w:val="0042719D"/>
    <w:rsid w:val="004307A3"/>
    <w:rsid w:val="0043103C"/>
    <w:rsid w:val="0043111C"/>
    <w:rsid w:val="004331B1"/>
    <w:rsid w:val="00433891"/>
    <w:rsid w:val="0043417D"/>
    <w:rsid w:val="00434351"/>
    <w:rsid w:val="004351BD"/>
    <w:rsid w:val="0043601C"/>
    <w:rsid w:val="00437705"/>
    <w:rsid w:val="00437D0E"/>
    <w:rsid w:val="00445AEC"/>
    <w:rsid w:val="0044630E"/>
    <w:rsid w:val="00446D36"/>
    <w:rsid w:val="00447A18"/>
    <w:rsid w:val="00447AD1"/>
    <w:rsid w:val="00447C24"/>
    <w:rsid w:val="0045076C"/>
    <w:rsid w:val="00451F01"/>
    <w:rsid w:val="00452F98"/>
    <w:rsid w:val="004543DA"/>
    <w:rsid w:val="00456A00"/>
    <w:rsid w:val="0045741B"/>
    <w:rsid w:val="004610D1"/>
    <w:rsid w:val="0046168D"/>
    <w:rsid w:val="0046243D"/>
    <w:rsid w:val="004635B1"/>
    <w:rsid w:val="00463A0A"/>
    <w:rsid w:val="00463F80"/>
    <w:rsid w:val="00464668"/>
    <w:rsid w:val="0046523D"/>
    <w:rsid w:val="004652D8"/>
    <w:rsid w:val="00466576"/>
    <w:rsid w:val="004671D9"/>
    <w:rsid w:val="00467FD1"/>
    <w:rsid w:val="004707CA"/>
    <w:rsid w:val="00472247"/>
    <w:rsid w:val="00472AF8"/>
    <w:rsid w:val="004734D1"/>
    <w:rsid w:val="00474642"/>
    <w:rsid w:val="00474AD0"/>
    <w:rsid w:val="00474F64"/>
    <w:rsid w:val="00475012"/>
    <w:rsid w:val="00475607"/>
    <w:rsid w:val="00477851"/>
    <w:rsid w:val="00480B2D"/>
    <w:rsid w:val="00481194"/>
    <w:rsid w:val="00481D9B"/>
    <w:rsid w:val="00482D69"/>
    <w:rsid w:val="004845A0"/>
    <w:rsid w:val="004859B4"/>
    <w:rsid w:val="004860F7"/>
    <w:rsid w:val="00487CE9"/>
    <w:rsid w:val="004901FA"/>
    <w:rsid w:val="00490587"/>
    <w:rsid w:val="00490AFE"/>
    <w:rsid w:val="00491409"/>
    <w:rsid w:val="00491888"/>
    <w:rsid w:val="004931B9"/>
    <w:rsid w:val="00496385"/>
    <w:rsid w:val="00496D1F"/>
    <w:rsid w:val="004A032A"/>
    <w:rsid w:val="004A05C8"/>
    <w:rsid w:val="004A2265"/>
    <w:rsid w:val="004A2BD6"/>
    <w:rsid w:val="004A3374"/>
    <w:rsid w:val="004A44E7"/>
    <w:rsid w:val="004A55EA"/>
    <w:rsid w:val="004A565D"/>
    <w:rsid w:val="004A6E3D"/>
    <w:rsid w:val="004A7778"/>
    <w:rsid w:val="004B143C"/>
    <w:rsid w:val="004B2050"/>
    <w:rsid w:val="004B2138"/>
    <w:rsid w:val="004B3195"/>
    <w:rsid w:val="004B384D"/>
    <w:rsid w:val="004B4BBC"/>
    <w:rsid w:val="004B7E1F"/>
    <w:rsid w:val="004C0F8B"/>
    <w:rsid w:val="004C2708"/>
    <w:rsid w:val="004C2AC6"/>
    <w:rsid w:val="004C2C65"/>
    <w:rsid w:val="004C3434"/>
    <w:rsid w:val="004C51A5"/>
    <w:rsid w:val="004D01B0"/>
    <w:rsid w:val="004D6365"/>
    <w:rsid w:val="004D67DD"/>
    <w:rsid w:val="004D6EC8"/>
    <w:rsid w:val="004E00F6"/>
    <w:rsid w:val="004E11C8"/>
    <w:rsid w:val="004E120F"/>
    <w:rsid w:val="004E127A"/>
    <w:rsid w:val="004E15CB"/>
    <w:rsid w:val="004E3479"/>
    <w:rsid w:val="004E3B59"/>
    <w:rsid w:val="004E4197"/>
    <w:rsid w:val="004E494E"/>
    <w:rsid w:val="004E7491"/>
    <w:rsid w:val="004E793D"/>
    <w:rsid w:val="004F0001"/>
    <w:rsid w:val="004F1E20"/>
    <w:rsid w:val="004F2CB3"/>
    <w:rsid w:val="004F318B"/>
    <w:rsid w:val="004F36D2"/>
    <w:rsid w:val="004F494C"/>
    <w:rsid w:val="004F4BA7"/>
    <w:rsid w:val="004F5B46"/>
    <w:rsid w:val="004F6A7D"/>
    <w:rsid w:val="004F77CF"/>
    <w:rsid w:val="00500B34"/>
    <w:rsid w:val="00501270"/>
    <w:rsid w:val="00501F71"/>
    <w:rsid w:val="00502900"/>
    <w:rsid w:val="00504719"/>
    <w:rsid w:val="0050559C"/>
    <w:rsid w:val="00505889"/>
    <w:rsid w:val="00506217"/>
    <w:rsid w:val="005101BB"/>
    <w:rsid w:val="005106E3"/>
    <w:rsid w:val="0051157B"/>
    <w:rsid w:val="00513198"/>
    <w:rsid w:val="0051473B"/>
    <w:rsid w:val="00515BBB"/>
    <w:rsid w:val="00516424"/>
    <w:rsid w:val="00516F71"/>
    <w:rsid w:val="00516F7F"/>
    <w:rsid w:val="00517B05"/>
    <w:rsid w:val="0052104A"/>
    <w:rsid w:val="00521ACD"/>
    <w:rsid w:val="00522286"/>
    <w:rsid w:val="005242AE"/>
    <w:rsid w:val="00524C7B"/>
    <w:rsid w:val="00524F65"/>
    <w:rsid w:val="005252F7"/>
    <w:rsid w:val="005256D1"/>
    <w:rsid w:val="0052573A"/>
    <w:rsid w:val="00526322"/>
    <w:rsid w:val="0052654E"/>
    <w:rsid w:val="005277F5"/>
    <w:rsid w:val="00530217"/>
    <w:rsid w:val="00532CAF"/>
    <w:rsid w:val="00533F6C"/>
    <w:rsid w:val="00541845"/>
    <w:rsid w:val="00541FE7"/>
    <w:rsid w:val="0054291F"/>
    <w:rsid w:val="00542A73"/>
    <w:rsid w:val="0054411D"/>
    <w:rsid w:val="00544947"/>
    <w:rsid w:val="0054507C"/>
    <w:rsid w:val="00545D49"/>
    <w:rsid w:val="00546A31"/>
    <w:rsid w:val="00550AB2"/>
    <w:rsid w:val="00551DF8"/>
    <w:rsid w:val="005526E4"/>
    <w:rsid w:val="00555D61"/>
    <w:rsid w:val="00556040"/>
    <w:rsid w:val="0055633E"/>
    <w:rsid w:val="005567D2"/>
    <w:rsid w:val="005607E3"/>
    <w:rsid w:val="0056090E"/>
    <w:rsid w:val="005615FB"/>
    <w:rsid w:val="005623A6"/>
    <w:rsid w:val="00562CED"/>
    <w:rsid w:val="00562D96"/>
    <w:rsid w:val="00564603"/>
    <w:rsid w:val="00564C28"/>
    <w:rsid w:val="00564DB2"/>
    <w:rsid w:val="00564E46"/>
    <w:rsid w:val="00565ACB"/>
    <w:rsid w:val="00566925"/>
    <w:rsid w:val="0056707B"/>
    <w:rsid w:val="00567A33"/>
    <w:rsid w:val="00572774"/>
    <w:rsid w:val="0057348E"/>
    <w:rsid w:val="005743B4"/>
    <w:rsid w:val="00576054"/>
    <w:rsid w:val="005775CC"/>
    <w:rsid w:val="00577934"/>
    <w:rsid w:val="00580DC7"/>
    <w:rsid w:val="00580E2C"/>
    <w:rsid w:val="00582968"/>
    <w:rsid w:val="00583DD1"/>
    <w:rsid w:val="00583FE4"/>
    <w:rsid w:val="005849C3"/>
    <w:rsid w:val="00586719"/>
    <w:rsid w:val="0058715F"/>
    <w:rsid w:val="0058760E"/>
    <w:rsid w:val="00590B08"/>
    <w:rsid w:val="00591551"/>
    <w:rsid w:val="00591FBC"/>
    <w:rsid w:val="0059367A"/>
    <w:rsid w:val="00593F72"/>
    <w:rsid w:val="005944BF"/>
    <w:rsid w:val="00595E01"/>
    <w:rsid w:val="005A04AC"/>
    <w:rsid w:val="005A1AA1"/>
    <w:rsid w:val="005A287A"/>
    <w:rsid w:val="005A30FF"/>
    <w:rsid w:val="005A3625"/>
    <w:rsid w:val="005A49B6"/>
    <w:rsid w:val="005A4A5A"/>
    <w:rsid w:val="005A5386"/>
    <w:rsid w:val="005A6554"/>
    <w:rsid w:val="005A7BD2"/>
    <w:rsid w:val="005A7CB9"/>
    <w:rsid w:val="005A7CFF"/>
    <w:rsid w:val="005B103B"/>
    <w:rsid w:val="005B48AA"/>
    <w:rsid w:val="005B4FB5"/>
    <w:rsid w:val="005B52C3"/>
    <w:rsid w:val="005B5E3C"/>
    <w:rsid w:val="005B671C"/>
    <w:rsid w:val="005B6929"/>
    <w:rsid w:val="005B6E96"/>
    <w:rsid w:val="005B6EDB"/>
    <w:rsid w:val="005B76C7"/>
    <w:rsid w:val="005C02F0"/>
    <w:rsid w:val="005C033E"/>
    <w:rsid w:val="005C05AD"/>
    <w:rsid w:val="005C12F9"/>
    <w:rsid w:val="005C492D"/>
    <w:rsid w:val="005C4FE6"/>
    <w:rsid w:val="005C5B81"/>
    <w:rsid w:val="005C6116"/>
    <w:rsid w:val="005C7E39"/>
    <w:rsid w:val="005D160E"/>
    <w:rsid w:val="005D2149"/>
    <w:rsid w:val="005D2B55"/>
    <w:rsid w:val="005D2C32"/>
    <w:rsid w:val="005D4741"/>
    <w:rsid w:val="005D488A"/>
    <w:rsid w:val="005D4A0E"/>
    <w:rsid w:val="005D5C6A"/>
    <w:rsid w:val="005E0840"/>
    <w:rsid w:val="005E1682"/>
    <w:rsid w:val="005E1E42"/>
    <w:rsid w:val="005E2024"/>
    <w:rsid w:val="005E20DA"/>
    <w:rsid w:val="005E2CB6"/>
    <w:rsid w:val="005E3F03"/>
    <w:rsid w:val="005E4E5A"/>
    <w:rsid w:val="005E680A"/>
    <w:rsid w:val="005E7162"/>
    <w:rsid w:val="005E7C92"/>
    <w:rsid w:val="005F0CCA"/>
    <w:rsid w:val="005F2B34"/>
    <w:rsid w:val="005F4C0E"/>
    <w:rsid w:val="005F5961"/>
    <w:rsid w:val="005F5DD0"/>
    <w:rsid w:val="005F74DE"/>
    <w:rsid w:val="006009D6"/>
    <w:rsid w:val="00601F40"/>
    <w:rsid w:val="0060231D"/>
    <w:rsid w:val="00604A6A"/>
    <w:rsid w:val="00604FC6"/>
    <w:rsid w:val="006052F5"/>
    <w:rsid w:val="00606EDF"/>
    <w:rsid w:val="0060717C"/>
    <w:rsid w:val="00607F41"/>
    <w:rsid w:val="006103C1"/>
    <w:rsid w:val="006106F8"/>
    <w:rsid w:val="00610CB4"/>
    <w:rsid w:val="00611141"/>
    <w:rsid w:val="00613233"/>
    <w:rsid w:val="00615283"/>
    <w:rsid w:val="00616976"/>
    <w:rsid w:val="00616B3F"/>
    <w:rsid w:val="0061784F"/>
    <w:rsid w:val="006200BA"/>
    <w:rsid w:val="006202A6"/>
    <w:rsid w:val="00622096"/>
    <w:rsid w:val="00622189"/>
    <w:rsid w:val="00622D71"/>
    <w:rsid w:val="006233D0"/>
    <w:rsid w:val="006235E6"/>
    <w:rsid w:val="006244C8"/>
    <w:rsid w:val="00624925"/>
    <w:rsid w:val="00626AC6"/>
    <w:rsid w:val="00626ED8"/>
    <w:rsid w:val="0062797D"/>
    <w:rsid w:val="00627BAC"/>
    <w:rsid w:val="0063207F"/>
    <w:rsid w:val="006333C8"/>
    <w:rsid w:val="0063494B"/>
    <w:rsid w:val="00634C4F"/>
    <w:rsid w:val="0063686A"/>
    <w:rsid w:val="00637AB9"/>
    <w:rsid w:val="0064028D"/>
    <w:rsid w:val="00641EC3"/>
    <w:rsid w:val="00641F76"/>
    <w:rsid w:val="0064280C"/>
    <w:rsid w:val="00642B40"/>
    <w:rsid w:val="006438B6"/>
    <w:rsid w:val="00643B43"/>
    <w:rsid w:val="00644E86"/>
    <w:rsid w:val="00647210"/>
    <w:rsid w:val="006504F3"/>
    <w:rsid w:val="00651AC9"/>
    <w:rsid w:val="00651CB4"/>
    <w:rsid w:val="00651F11"/>
    <w:rsid w:val="00654435"/>
    <w:rsid w:val="00655C76"/>
    <w:rsid w:val="006560BC"/>
    <w:rsid w:val="00660540"/>
    <w:rsid w:val="006616BC"/>
    <w:rsid w:val="006627F3"/>
    <w:rsid w:val="0066287E"/>
    <w:rsid w:val="00662A88"/>
    <w:rsid w:val="006633E5"/>
    <w:rsid w:val="00664E45"/>
    <w:rsid w:val="006713FD"/>
    <w:rsid w:val="00671903"/>
    <w:rsid w:val="00671B49"/>
    <w:rsid w:val="00672F33"/>
    <w:rsid w:val="00674D71"/>
    <w:rsid w:val="00674FD5"/>
    <w:rsid w:val="00675A37"/>
    <w:rsid w:val="00675B44"/>
    <w:rsid w:val="00675F06"/>
    <w:rsid w:val="00676785"/>
    <w:rsid w:val="006775B4"/>
    <w:rsid w:val="00680473"/>
    <w:rsid w:val="00680C13"/>
    <w:rsid w:val="006812CE"/>
    <w:rsid w:val="0068146D"/>
    <w:rsid w:val="00683631"/>
    <w:rsid w:val="00683BED"/>
    <w:rsid w:val="00684637"/>
    <w:rsid w:val="00684F03"/>
    <w:rsid w:val="00685033"/>
    <w:rsid w:val="00685BA1"/>
    <w:rsid w:val="0068635B"/>
    <w:rsid w:val="00686CA0"/>
    <w:rsid w:val="006870E8"/>
    <w:rsid w:val="00687847"/>
    <w:rsid w:val="00687B41"/>
    <w:rsid w:val="006912A8"/>
    <w:rsid w:val="00691DD5"/>
    <w:rsid w:val="00692132"/>
    <w:rsid w:val="0069222A"/>
    <w:rsid w:val="00692999"/>
    <w:rsid w:val="00693E62"/>
    <w:rsid w:val="00694BD0"/>
    <w:rsid w:val="00697077"/>
    <w:rsid w:val="00697418"/>
    <w:rsid w:val="00697B51"/>
    <w:rsid w:val="006A0602"/>
    <w:rsid w:val="006A082A"/>
    <w:rsid w:val="006A2316"/>
    <w:rsid w:val="006A28EA"/>
    <w:rsid w:val="006A43A8"/>
    <w:rsid w:val="006A54F3"/>
    <w:rsid w:val="006A559D"/>
    <w:rsid w:val="006A71E7"/>
    <w:rsid w:val="006A7394"/>
    <w:rsid w:val="006A7BAB"/>
    <w:rsid w:val="006A7C95"/>
    <w:rsid w:val="006B0AF1"/>
    <w:rsid w:val="006B181B"/>
    <w:rsid w:val="006B271F"/>
    <w:rsid w:val="006B517D"/>
    <w:rsid w:val="006B522B"/>
    <w:rsid w:val="006B6572"/>
    <w:rsid w:val="006B6667"/>
    <w:rsid w:val="006B7C36"/>
    <w:rsid w:val="006C01DD"/>
    <w:rsid w:val="006C2093"/>
    <w:rsid w:val="006C2318"/>
    <w:rsid w:val="006C266A"/>
    <w:rsid w:val="006C26C3"/>
    <w:rsid w:val="006C3362"/>
    <w:rsid w:val="006C3FA0"/>
    <w:rsid w:val="006C5C68"/>
    <w:rsid w:val="006C6845"/>
    <w:rsid w:val="006C6D16"/>
    <w:rsid w:val="006C6FD1"/>
    <w:rsid w:val="006D09B7"/>
    <w:rsid w:val="006D0CF1"/>
    <w:rsid w:val="006D151B"/>
    <w:rsid w:val="006D409C"/>
    <w:rsid w:val="006D4B4E"/>
    <w:rsid w:val="006D6C8A"/>
    <w:rsid w:val="006E0110"/>
    <w:rsid w:val="006E0282"/>
    <w:rsid w:val="006E052B"/>
    <w:rsid w:val="006E06BC"/>
    <w:rsid w:val="006E0935"/>
    <w:rsid w:val="006E0ACB"/>
    <w:rsid w:val="006E2460"/>
    <w:rsid w:val="006E353B"/>
    <w:rsid w:val="006E3A81"/>
    <w:rsid w:val="006E4D7C"/>
    <w:rsid w:val="006E4F10"/>
    <w:rsid w:val="006E5078"/>
    <w:rsid w:val="006E51D5"/>
    <w:rsid w:val="006E630B"/>
    <w:rsid w:val="006E6E5E"/>
    <w:rsid w:val="006E7693"/>
    <w:rsid w:val="006F0147"/>
    <w:rsid w:val="006F06F1"/>
    <w:rsid w:val="006F62CA"/>
    <w:rsid w:val="006F6E28"/>
    <w:rsid w:val="006F720F"/>
    <w:rsid w:val="006F756E"/>
    <w:rsid w:val="006F7DEC"/>
    <w:rsid w:val="00700481"/>
    <w:rsid w:val="00700D59"/>
    <w:rsid w:val="00701DAD"/>
    <w:rsid w:val="0070249F"/>
    <w:rsid w:val="007029EB"/>
    <w:rsid w:val="00702DFD"/>
    <w:rsid w:val="007038B8"/>
    <w:rsid w:val="00703B11"/>
    <w:rsid w:val="00703E30"/>
    <w:rsid w:val="007057DD"/>
    <w:rsid w:val="00710102"/>
    <w:rsid w:val="0071075B"/>
    <w:rsid w:val="007124FA"/>
    <w:rsid w:val="00712938"/>
    <w:rsid w:val="00714AE3"/>
    <w:rsid w:val="007169D6"/>
    <w:rsid w:val="00716E55"/>
    <w:rsid w:val="00717A72"/>
    <w:rsid w:val="007200F7"/>
    <w:rsid w:val="0072058B"/>
    <w:rsid w:val="00721A34"/>
    <w:rsid w:val="0072345F"/>
    <w:rsid w:val="007252A9"/>
    <w:rsid w:val="0072726B"/>
    <w:rsid w:val="0072781E"/>
    <w:rsid w:val="00731D71"/>
    <w:rsid w:val="007322C5"/>
    <w:rsid w:val="00732926"/>
    <w:rsid w:val="00732C51"/>
    <w:rsid w:val="00734533"/>
    <w:rsid w:val="007347A4"/>
    <w:rsid w:val="007350A4"/>
    <w:rsid w:val="0073562A"/>
    <w:rsid w:val="0073758C"/>
    <w:rsid w:val="00737F3C"/>
    <w:rsid w:val="00741444"/>
    <w:rsid w:val="00741F75"/>
    <w:rsid w:val="00744D6D"/>
    <w:rsid w:val="00744FDD"/>
    <w:rsid w:val="00746565"/>
    <w:rsid w:val="00746A03"/>
    <w:rsid w:val="00750FE9"/>
    <w:rsid w:val="00751707"/>
    <w:rsid w:val="00752B7A"/>
    <w:rsid w:val="0075389D"/>
    <w:rsid w:val="00754B33"/>
    <w:rsid w:val="00755B51"/>
    <w:rsid w:val="00756BA5"/>
    <w:rsid w:val="00757354"/>
    <w:rsid w:val="00762349"/>
    <w:rsid w:val="007633B7"/>
    <w:rsid w:val="007641C1"/>
    <w:rsid w:val="007646BE"/>
    <w:rsid w:val="00764F46"/>
    <w:rsid w:val="007658E0"/>
    <w:rsid w:val="00766182"/>
    <w:rsid w:val="00766370"/>
    <w:rsid w:val="00767586"/>
    <w:rsid w:val="007678D3"/>
    <w:rsid w:val="00770D09"/>
    <w:rsid w:val="00771287"/>
    <w:rsid w:val="00771A9B"/>
    <w:rsid w:val="00771E2B"/>
    <w:rsid w:val="00773FC7"/>
    <w:rsid w:val="00774543"/>
    <w:rsid w:val="007746BC"/>
    <w:rsid w:val="00775F22"/>
    <w:rsid w:val="00776CB0"/>
    <w:rsid w:val="0077797E"/>
    <w:rsid w:val="0078060C"/>
    <w:rsid w:val="00781475"/>
    <w:rsid w:val="00783A7A"/>
    <w:rsid w:val="00783DB9"/>
    <w:rsid w:val="00785587"/>
    <w:rsid w:val="00785DA9"/>
    <w:rsid w:val="00786390"/>
    <w:rsid w:val="0079010C"/>
    <w:rsid w:val="00790B40"/>
    <w:rsid w:val="00790F0F"/>
    <w:rsid w:val="00791033"/>
    <w:rsid w:val="007919D7"/>
    <w:rsid w:val="0079217F"/>
    <w:rsid w:val="00793548"/>
    <w:rsid w:val="007938F5"/>
    <w:rsid w:val="007940F5"/>
    <w:rsid w:val="0079438A"/>
    <w:rsid w:val="007949A6"/>
    <w:rsid w:val="00796D11"/>
    <w:rsid w:val="007A049A"/>
    <w:rsid w:val="007A135B"/>
    <w:rsid w:val="007A19E5"/>
    <w:rsid w:val="007A2075"/>
    <w:rsid w:val="007A2B8E"/>
    <w:rsid w:val="007A3256"/>
    <w:rsid w:val="007A370C"/>
    <w:rsid w:val="007A3CC4"/>
    <w:rsid w:val="007A40B1"/>
    <w:rsid w:val="007A490B"/>
    <w:rsid w:val="007A4FD0"/>
    <w:rsid w:val="007B0735"/>
    <w:rsid w:val="007B1094"/>
    <w:rsid w:val="007B1F01"/>
    <w:rsid w:val="007B4B16"/>
    <w:rsid w:val="007B5C3F"/>
    <w:rsid w:val="007B5CBE"/>
    <w:rsid w:val="007B60E9"/>
    <w:rsid w:val="007B6E33"/>
    <w:rsid w:val="007B6F5C"/>
    <w:rsid w:val="007B7287"/>
    <w:rsid w:val="007B7987"/>
    <w:rsid w:val="007C0158"/>
    <w:rsid w:val="007C10C6"/>
    <w:rsid w:val="007C5D74"/>
    <w:rsid w:val="007C67FC"/>
    <w:rsid w:val="007C7BE7"/>
    <w:rsid w:val="007D0770"/>
    <w:rsid w:val="007D0EF7"/>
    <w:rsid w:val="007D1FEA"/>
    <w:rsid w:val="007D2B19"/>
    <w:rsid w:val="007D3818"/>
    <w:rsid w:val="007D4488"/>
    <w:rsid w:val="007D4FCF"/>
    <w:rsid w:val="007D5792"/>
    <w:rsid w:val="007D5B04"/>
    <w:rsid w:val="007D5F75"/>
    <w:rsid w:val="007D6022"/>
    <w:rsid w:val="007D6AE3"/>
    <w:rsid w:val="007D77F2"/>
    <w:rsid w:val="007E0EF8"/>
    <w:rsid w:val="007E20D4"/>
    <w:rsid w:val="007E215F"/>
    <w:rsid w:val="007E2761"/>
    <w:rsid w:val="007E433F"/>
    <w:rsid w:val="007E4DE9"/>
    <w:rsid w:val="007E53C5"/>
    <w:rsid w:val="007E5ECC"/>
    <w:rsid w:val="007E65CF"/>
    <w:rsid w:val="007E6D12"/>
    <w:rsid w:val="007E6E6C"/>
    <w:rsid w:val="007E6EDE"/>
    <w:rsid w:val="007F1C37"/>
    <w:rsid w:val="007F1DA8"/>
    <w:rsid w:val="007F2184"/>
    <w:rsid w:val="007F30FA"/>
    <w:rsid w:val="007F33DF"/>
    <w:rsid w:val="007F5606"/>
    <w:rsid w:val="007F62AE"/>
    <w:rsid w:val="007F6664"/>
    <w:rsid w:val="007F6C8D"/>
    <w:rsid w:val="007F73C5"/>
    <w:rsid w:val="00800E13"/>
    <w:rsid w:val="00800F7D"/>
    <w:rsid w:val="00801D9A"/>
    <w:rsid w:val="008026BB"/>
    <w:rsid w:val="008034E5"/>
    <w:rsid w:val="008038E8"/>
    <w:rsid w:val="00804192"/>
    <w:rsid w:val="008042D9"/>
    <w:rsid w:val="00805026"/>
    <w:rsid w:val="0080529A"/>
    <w:rsid w:val="00806BC3"/>
    <w:rsid w:val="0080705E"/>
    <w:rsid w:val="008109EC"/>
    <w:rsid w:val="00811389"/>
    <w:rsid w:val="00811833"/>
    <w:rsid w:val="00813106"/>
    <w:rsid w:val="00813B19"/>
    <w:rsid w:val="00814010"/>
    <w:rsid w:val="00814F69"/>
    <w:rsid w:val="00815A25"/>
    <w:rsid w:val="00816F4A"/>
    <w:rsid w:val="008208D9"/>
    <w:rsid w:val="00820BE6"/>
    <w:rsid w:val="008216DB"/>
    <w:rsid w:val="00821C36"/>
    <w:rsid w:val="0082203F"/>
    <w:rsid w:val="008229F4"/>
    <w:rsid w:val="008250D4"/>
    <w:rsid w:val="00825D12"/>
    <w:rsid w:val="008278CA"/>
    <w:rsid w:val="00827C65"/>
    <w:rsid w:val="008309B7"/>
    <w:rsid w:val="008316F1"/>
    <w:rsid w:val="008324F1"/>
    <w:rsid w:val="00832D53"/>
    <w:rsid w:val="00834B26"/>
    <w:rsid w:val="0083513E"/>
    <w:rsid w:val="00835955"/>
    <w:rsid w:val="00835F9D"/>
    <w:rsid w:val="00836B15"/>
    <w:rsid w:val="008373B5"/>
    <w:rsid w:val="00840344"/>
    <w:rsid w:val="008411CE"/>
    <w:rsid w:val="0084408E"/>
    <w:rsid w:val="0084432D"/>
    <w:rsid w:val="00845BD9"/>
    <w:rsid w:val="00850091"/>
    <w:rsid w:val="00850F2A"/>
    <w:rsid w:val="00852489"/>
    <w:rsid w:val="00853734"/>
    <w:rsid w:val="00853F04"/>
    <w:rsid w:val="0085518F"/>
    <w:rsid w:val="00855DCB"/>
    <w:rsid w:val="008562D4"/>
    <w:rsid w:val="00856923"/>
    <w:rsid w:val="00856FE7"/>
    <w:rsid w:val="0085779D"/>
    <w:rsid w:val="008603D1"/>
    <w:rsid w:val="00862AD9"/>
    <w:rsid w:val="00862C47"/>
    <w:rsid w:val="00864155"/>
    <w:rsid w:val="00864927"/>
    <w:rsid w:val="00870612"/>
    <w:rsid w:val="00870A1D"/>
    <w:rsid w:val="00871442"/>
    <w:rsid w:val="008717E6"/>
    <w:rsid w:val="00873AD0"/>
    <w:rsid w:val="00874E75"/>
    <w:rsid w:val="008755CD"/>
    <w:rsid w:val="00876E06"/>
    <w:rsid w:val="00880146"/>
    <w:rsid w:val="00880AF8"/>
    <w:rsid w:val="00881BAA"/>
    <w:rsid w:val="008832B6"/>
    <w:rsid w:val="00884876"/>
    <w:rsid w:val="0088621E"/>
    <w:rsid w:val="00886A04"/>
    <w:rsid w:val="0088746F"/>
    <w:rsid w:val="00887903"/>
    <w:rsid w:val="00887BC3"/>
    <w:rsid w:val="008904D1"/>
    <w:rsid w:val="00894073"/>
    <w:rsid w:val="00895E53"/>
    <w:rsid w:val="00896089"/>
    <w:rsid w:val="00896C90"/>
    <w:rsid w:val="00896E3C"/>
    <w:rsid w:val="00896EC1"/>
    <w:rsid w:val="008A028A"/>
    <w:rsid w:val="008A1027"/>
    <w:rsid w:val="008A23F4"/>
    <w:rsid w:val="008A3977"/>
    <w:rsid w:val="008A43DC"/>
    <w:rsid w:val="008A4A6C"/>
    <w:rsid w:val="008A5E15"/>
    <w:rsid w:val="008A7745"/>
    <w:rsid w:val="008A789C"/>
    <w:rsid w:val="008B36CD"/>
    <w:rsid w:val="008B4056"/>
    <w:rsid w:val="008B4D40"/>
    <w:rsid w:val="008B5741"/>
    <w:rsid w:val="008C09C3"/>
    <w:rsid w:val="008C26B5"/>
    <w:rsid w:val="008C3736"/>
    <w:rsid w:val="008C4F85"/>
    <w:rsid w:val="008C5B91"/>
    <w:rsid w:val="008C6228"/>
    <w:rsid w:val="008C642B"/>
    <w:rsid w:val="008C7176"/>
    <w:rsid w:val="008C73F8"/>
    <w:rsid w:val="008D1370"/>
    <w:rsid w:val="008D2520"/>
    <w:rsid w:val="008D289D"/>
    <w:rsid w:val="008D2B63"/>
    <w:rsid w:val="008D2F12"/>
    <w:rsid w:val="008D3E63"/>
    <w:rsid w:val="008D4D98"/>
    <w:rsid w:val="008D69FF"/>
    <w:rsid w:val="008D7050"/>
    <w:rsid w:val="008D7864"/>
    <w:rsid w:val="008D793A"/>
    <w:rsid w:val="008D7DDB"/>
    <w:rsid w:val="008D7E72"/>
    <w:rsid w:val="008E08BE"/>
    <w:rsid w:val="008E0AE9"/>
    <w:rsid w:val="008E0B9A"/>
    <w:rsid w:val="008E1633"/>
    <w:rsid w:val="008E1BB5"/>
    <w:rsid w:val="008E2879"/>
    <w:rsid w:val="008E36D8"/>
    <w:rsid w:val="008E3BD0"/>
    <w:rsid w:val="008E4783"/>
    <w:rsid w:val="008E4C17"/>
    <w:rsid w:val="008E5DC5"/>
    <w:rsid w:val="008E624B"/>
    <w:rsid w:val="008E7CC5"/>
    <w:rsid w:val="008E7D6E"/>
    <w:rsid w:val="008F0AD0"/>
    <w:rsid w:val="008F3077"/>
    <w:rsid w:val="008F3264"/>
    <w:rsid w:val="008F3874"/>
    <w:rsid w:val="008F3883"/>
    <w:rsid w:val="008F3BAD"/>
    <w:rsid w:val="008F4400"/>
    <w:rsid w:val="008F4DD0"/>
    <w:rsid w:val="008F5981"/>
    <w:rsid w:val="008F5E5C"/>
    <w:rsid w:val="008F738C"/>
    <w:rsid w:val="00901194"/>
    <w:rsid w:val="009013CE"/>
    <w:rsid w:val="00901D2E"/>
    <w:rsid w:val="00902739"/>
    <w:rsid w:val="00904BAC"/>
    <w:rsid w:val="00904C65"/>
    <w:rsid w:val="00905EA2"/>
    <w:rsid w:val="009062BD"/>
    <w:rsid w:val="0091099F"/>
    <w:rsid w:val="00910A83"/>
    <w:rsid w:val="00910C46"/>
    <w:rsid w:val="009126E5"/>
    <w:rsid w:val="00913292"/>
    <w:rsid w:val="00913441"/>
    <w:rsid w:val="00913B53"/>
    <w:rsid w:val="00913F13"/>
    <w:rsid w:val="0091440C"/>
    <w:rsid w:val="009148AE"/>
    <w:rsid w:val="0091528E"/>
    <w:rsid w:val="009155D0"/>
    <w:rsid w:val="00915D71"/>
    <w:rsid w:val="00915DE6"/>
    <w:rsid w:val="00916449"/>
    <w:rsid w:val="009179E7"/>
    <w:rsid w:val="00920251"/>
    <w:rsid w:val="00920A72"/>
    <w:rsid w:val="009228F6"/>
    <w:rsid w:val="00923CE5"/>
    <w:rsid w:val="00926B9B"/>
    <w:rsid w:val="009308D2"/>
    <w:rsid w:val="0093378A"/>
    <w:rsid w:val="00934220"/>
    <w:rsid w:val="00934245"/>
    <w:rsid w:val="0093532C"/>
    <w:rsid w:val="00935EFC"/>
    <w:rsid w:val="0093742B"/>
    <w:rsid w:val="00937966"/>
    <w:rsid w:val="0094088F"/>
    <w:rsid w:val="00941B35"/>
    <w:rsid w:val="00941C51"/>
    <w:rsid w:val="00941EF8"/>
    <w:rsid w:val="009424CE"/>
    <w:rsid w:val="00942714"/>
    <w:rsid w:val="00943121"/>
    <w:rsid w:val="0094362F"/>
    <w:rsid w:val="00945411"/>
    <w:rsid w:val="009466CD"/>
    <w:rsid w:val="00946F32"/>
    <w:rsid w:val="009475BC"/>
    <w:rsid w:val="00947857"/>
    <w:rsid w:val="00947D10"/>
    <w:rsid w:val="00947DBC"/>
    <w:rsid w:val="00947F6C"/>
    <w:rsid w:val="00950459"/>
    <w:rsid w:val="00950490"/>
    <w:rsid w:val="00952575"/>
    <w:rsid w:val="00953780"/>
    <w:rsid w:val="009541D6"/>
    <w:rsid w:val="0095493F"/>
    <w:rsid w:val="0095530F"/>
    <w:rsid w:val="009553B6"/>
    <w:rsid w:val="00956A67"/>
    <w:rsid w:val="00957A4E"/>
    <w:rsid w:val="00960368"/>
    <w:rsid w:val="0096052A"/>
    <w:rsid w:val="00960742"/>
    <w:rsid w:val="00962032"/>
    <w:rsid w:val="0096381B"/>
    <w:rsid w:val="0096488C"/>
    <w:rsid w:val="00965AF9"/>
    <w:rsid w:val="0096691D"/>
    <w:rsid w:val="00966CE8"/>
    <w:rsid w:val="009674E7"/>
    <w:rsid w:val="009728D1"/>
    <w:rsid w:val="009739D3"/>
    <w:rsid w:val="00974586"/>
    <w:rsid w:val="00974821"/>
    <w:rsid w:val="00974B09"/>
    <w:rsid w:val="00974F64"/>
    <w:rsid w:val="009757C3"/>
    <w:rsid w:val="00975BB2"/>
    <w:rsid w:val="00976BCC"/>
    <w:rsid w:val="00976DAC"/>
    <w:rsid w:val="009771F6"/>
    <w:rsid w:val="00977FCB"/>
    <w:rsid w:val="00981133"/>
    <w:rsid w:val="00983058"/>
    <w:rsid w:val="009839AF"/>
    <w:rsid w:val="00983FAB"/>
    <w:rsid w:val="00984628"/>
    <w:rsid w:val="00984D9C"/>
    <w:rsid w:val="0098608B"/>
    <w:rsid w:val="00986D6A"/>
    <w:rsid w:val="00987790"/>
    <w:rsid w:val="00990949"/>
    <w:rsid w:val="00990BDB"/>
    <w:rsid w:val="00990E16"/>
    <w:rsid w:val="009934EB"/>
    <w:rsid w:val="009946B4"/>
    <w:rsid w:val="00996B32"/>
    <w:rsid w:val="00996C59"/>
    <w:rsid w:val="00996E7D"/>
    <w:rsid w:val="009A0865"/>
    <w:rsid w:val="009A137A"/>
    <w:rsid w:val="009A185E"/>
    <w:rsid w:val="009A2E96"/>
    <w:rsid w:val="009A3EBB"/>
    <w:rsid w:val="009A4FD0"/>
    <w:rsid w:val="009A578C"/>
    <w:rsid w:val="009A7498"/>
    <w:rsid w:val="009B07AA"/>
    <w:rsid w:val="009B0CC9"/>
    <w:rsid w:val="009B107D"/>
    <w:rsid w:val="009B1115"/>
    <w:rsid w:val="009B1374"/>
    <w:rsid w:val="009B17FE"/>
    <w:rsid w:val="009B28DC"/>
    <w:rsid w:val="009B3385"/>
    <w:rsid w:val="009B465F"/>
    <w:rsid w:val="009B4D9D"/>
    <w:rsid w:val="009B5B9A"/>
    <w:rsid w:val="009C01E1"/>
    <w:rsid w:val="009C0B6C"/>
    <w:rsid w:val="009C1CE7"/>
    <w:rsid w:val="009C2C27"/>
    <w:rsid w:val="009C307A"/>
    <w:rsid w:val="009C3FD8"/>
    <w:rsid w:val="009C4572"/>
    <w:rsid w:val="009C4C41"/>
    <w:rsid w:val="009C4CEF"/>
    <w:rsid w:val="009C62A5"/>
    <w:rsid w:val="009C74A4"/>
    <w:rsid w:val="009C792C"/>
    <w:rsid w:val="009D17C2"/>
    <w:rsid w:val="009D1BA4"/>
    <w:rsid w:val="009D207C"/>
    <w:rsid w:val="009D482C"/>
    <w:rsid w:val="009D63B2"/>
    <w:rsid w:val="009D6D27"/>
    <w:rsid w:val="009E0143"/>
    <w:rsid w:val="009E189C"/>
    <w:rsid w:val="009E1994"/>
    <w:rsid w:val="009E204E"/>
    <w:rsid w:val="009E4CEF"/>
    <w:rsid w:val="009E511C"/>
    <w:rsid w:val="009E57D3"/>
    <w:rsid w:val="009E648F"/>
    <w:rsid w:val="009E7305"/>
    <w:rsid w:val="009F086E"/>
    <w:rsid w:val="009F1931"/>
    <w:rsid w:val="009F39D5"/>
    <w:rsid w:val="009F5510"/>
    <w:rsid w:val="009F65FD"/>
    <w:rsid w:val="009F6944"/>
    <w:rsid w:val="009F79E5"/>
    <w:rsid w:val="00A00E7C"/>
    <w:rsid w:val="00A01934"/>
    <w:rsid w:val="00A01F66"/>
    <w:rsid w:val="00A0214F"/>
    <w:rsid w:val="00A0235A"/>
    <w:rsid w:val="00A030F2"/>
    <w:rsid w:val="00A037F9"/>
    <w:rsid w:val="00A038BB"/>
    <w:rsid w:val="00A03AE5"/>
    <w:rsid w:val="00A05694"/>
    <w:rsid w:val="00A05914"/>
    <w:rsid w:val="00A05E80"/>
    <w:rsid w:val="00A073C9"/>
    <w:rsid w:val="00A0779D"/>
    <w:rsid w:val="00A11E59"/>
    <w:rsid w:val="00A12437"/>
    <w:rsid w:val="00A12583"/>
    <w:rsid w:val="00A13A3C"/>
    <w:rsid w:val="00A15D42"/>
    <w:rsid w:val="00A17AA9"/>
    <w:rsid w:val="00A20A07"/>
    <w:rsid w:val="00A20BCB"/>
    <w:rsid w:val="00A21745"/>
    <w:rsid w:val="00A22DDC"/>
    <w:rsid w:val="00A23BDE"/>
    <w:rsid w:val="00A23E02"/>
    <w:rsid w:val="00A2444B"/>
    <w:rsid w:val="00A27504"/>
    <w:rsid w:val="00A30B5D"/>
    <w:rsid w:val="00A31011"/>
    <w:rsid w:val="00A31B70"/>
    <w:rsid w:val="00A31DF8"/>
    <w:rsid w:val="00A322CD"/>
    <w:rsid w:val="00A32F77"/>
    <w:rsid w:val="00A36B30"/>
    <w:rsid w:val="00A373A2"/>
    <w:rsid w:val="00A40280"/>
    <w:rsid w:val="00A4100B"/>
    <w:rsid w:val="00A4360D"/>
    <w:rsid w:val="00A43946"/>
    <w:rsid w:val="00A44E14"/>
    <w:rsid w:val="00A454CB"/>
    <w:rsid w:val="00A45AAD"/>
    <w:rsid w:val="00A460A8"/>
    <w:rsid w:val="00A47F03"/>
    <w:rsid w:val="00A5120F"/>
    <w:rsid w:val="00A5338E"/>
    <w:rsid w:val="00A5341D"/>
    <w:rsid w:val="00A53CE3"/>
    <w:rsid w:val="00A54BB1"/>
    <w:rsid w:val="00A553E2"/>
    <w:rsid w:val="00A55CE9"/>
    <w:rsid w:val="00A56905"/>
    <w:rsid w:val="00A56D12"/>
    <w:rsid w:val="00A60D55"/>
    <w:rsid w:val="00A619AF"/>
    <w:rsid w:val="00A61AF0"/>
    <w:rsid w:val="00A62B35"/>
    <w:rsid w:val="00A631A6"/>
    <w:rsid w:val="00A64745"/>
    <w:rsid w:val="00A64C92"/>
    <w:rsid w:val="00A656FB"/>
    <w:rsid w:val="00A6691F"/>
    <w:rsid w:val="00A7047C"/>
    <w:rsid w:val="00A721DA"/>
    <w:rsid w:val="00A72597"/>
    <w:rsid w:val="00A741C8"/>
    <w:rsid w:val="00A7508A"/>
    <w:rsid w:val="00A750C6"/>
    <w:rsid w:val="00A7523B"/>
    <w:rsid w:val="00A75BA0"/>
    <w:rsid w:val="00A81196"/>
    <w:rsid w:val="00A8168D"/>
    <w:rsid w:val="00A82139"/>
    <w:rsid w:val="00A82177"/>
    <w:rsid w:val="00A83B50"/>
    <w:rsid w:val="00A8625A"/>
    <w:rsid w:val="00A869F9"/>
    <w:rsid w:val="00A87241"/>
    <w:rsid w:val="00A902FD"/>
    <w:rsid w:val="00A91261"/>
    <w:rsid w:val="00A919CC"/>
    <w:rsid w:val="00A91A68"/>
    <w:rsid w:val="00A91D6E"/>
    <w:rsid w:val="00A9225C"/>
    <w:rsid w:val="00A92D4A"/>
    <w:rsid w:val="00A92F2F"/>
    <w:rsid w:val="00A931CE"/>
    <w:rsid w:val="00A94323"/>
    <w:rsid w:val="00A946D7"/>
    <w:rsid w:val="00A94B36"/>
    <w:rsid w:val="00A95466"/>
    <w:rsid w:val="00A95AD7"/>
    <w:rsid w:val="00A95D40"/>
    <w:rsid w:val="00A96EC8"/>
    <w:rsid w:val="00A97528"/>
    <w:rsid w:val="00AA0A84"/>
    <w:rsid w:val="00AA149D"/>
    <w:rsid w:val="00AA1CBA"/>
    <w:rsid w:val="00AA39C2"/>
    <w:rsid w:val="00AA39E8"/>
    <w:rsid w:val="00AA4ED2"/>
    <w:rsid w:val="00AA4F2B"/>
    <w:rsid w:val="00AA5709"/>
    <w:rsid w:val="00AA5CB1"/>
    <w:rsid w:val="00AA6243"/>
    <w:rsid w:val="00AA6675"/>
    <w:rsid w:val="00AA6C61"/>
    <w:rsid w:val="00AA7314"/>
    <w:rsid w:val="00AA7412"/>
    <w:rsid w:val="00AB0B88"/>
    <w:rsid w:val="00AB2CF1"/>
    <w:rsid w:val="00AB2E54"/>
    <w:rsid w:val="00AB2E71"/>
    <w:rsid w:val="00AB37E6"/>
    <w:rsid w:val="00AB4058"/>
    <w:rsid w:val="00AB417D"/>
    <w:rsid w:val="00AB441D"/>
    <w:rsid w:val="00AB4CC6"/>
    <w:rsid w:val="00AB565E"/>
    <w:rsid w:val="00AB7E1E"/>
    <w:rsid w:val="00AC03A9"/>
    <w:rsid w:val="00AC143C"/>
    <w:rsid w:val="00AC22EA"/>
    <w:rsid w:val="00AC3245"/>
    <w:rsid w:val="00AC3FA9"/>
    <w:rsid w:val="00AC4229"/>
    <w:rsid w:val="00AC50C5"/>
    <w:rsid w:val="00AC51FB"/>
    <w:rsid w:val="00AC5739"/>
    <w:rsid w:val="00AC5CCF"/>
    <w:rsid w:val="00AC617F"/>
    <w:rsid w:val="00AC6AFB"/>
    <w:rsid w:val="00AC6C8F"/>
    <w:rsid w:val="00AD016A"/>
    <w:rsid w:val="00AD066A"/>
    <w:rsid w:val="00AD13B4"/>
    <w:rsid w:val="00AD1DE5"/>
    <w:rsid w:val="00AD32DA"/>
    <w:rsid w:val="00AD34D6"/>
    <w:rsid w:val="00AD4627"/>
    <w:rsid w:val="00AD4BA0"/>
    <w:rsid w:val="00AD5909"/>
    <w:rsid w:val="00AD6B7A"/>
    <w:rsid w:val="00AD7006"/>
    <w:rsid w:val="00AD7818"/>
    <w:rsid w:val="00AE0C44"/>
    <w:rsid w:val="00AE0D12"/>
    <w:rsid w:val="00AE2CA9"/>
    <w:rsid w:val="00AE32D5"/>
    <w:rsid w:val="00AE3492"/>
    <w:rsid w:val="00AE5541"/>
    <w:rsid w:val="00AE598C"/>
    <w:rsid w:val="00AF1C9A"/>
    <w:rsid w:val="00AF3533"/>
    <w:rsid w:val="00AF39A2"/>
    <w:rsid w:val="00AF3BE2"/>
    <w:rsid w:val="00AF49B3"/>
    <w:rsid w:val="00AF5858"/>
    <w:rsid w:val="00AF5A2F"/>
    <w:rsid w:val="00AF5B59"/>
    <w:rsid w:val="00AF76A4"/>
    <w:rsid w:val="00B019AE"/>
    <w:rsid w:val="00B01E85"/>
    <w:rsid w:val="00B01F3A"/>
    <w:rsid w:val="00B02068"/>
    <w:rsid w:val="00B02FCB"/>
    <w:rsid w:val="00B03318"/>
    <w:rsid w:val="00B0505B"/>
    <w:rsid w:val="00B05A9A"/>
    <w:rsid w:val="00B06C31"/>
    <w:rsid w:val="00B10CBB"/>
    <w:rsid w:val="00B11EA7"/>
    <w:rsid w:val="00B11F97"/>
    <w:rsid w:val="00B12F84"/>
    <w:rsid w:val="00B13A39"/>
    <w:rsid w:val="00B14288"/>
    <w:rsid w:val="00B148C5"/>
    <w:rsid w:val="00B15E0E"/>
    <w:rsid w:val="00B1656B"/>
    <w:rsid w:val="00B212F5"/>
    <w:rsid w:val="00B21802"/>
    <w:rsid w:val="00B21AB0"/>
    <w:rsid w:val="00B22452"/>
    <w:rsid w:val="00B23EF6"/>
    <w:rsid w:val="00B26717"/>
    <w:rsid w:val="00B27B38"/>
    <w:rsid w:val="00B30A71"/>
    <w:rsid w:val="00B3201B"/>
    <w:rsid w:val="00B3262C"/>
    <w:rsid w:val="00B33058"/>
    <w:rsid w:val="00B3369A"/>
    <w:rsid w:val="00B336EC"/>
    <w:rsid w:val="00B3375C"/>
    <w:rsid w:val="00B34B32"/>
    <w:rsid w:val="00B34F21"/>
    <w:rsid w:val="00B36AFB"/>
    <w:rsid w:val="00B373DA"/>
    <w:rsid w:val="00B4022D"/>
    <w:rsid w:val="00B405CB"/>
    <w:rsid w:val="00B416E6"/>
    <w:rsid w:val="00B42943"/>
    <w:rsid w:val="00B42A13"/>
    <w:rsid w:val="00B4561C"/>
    <w:rsid w:val="00B46110"/>
    <w:rsid w:val="00B467E6"/>
    <w:rsid w:val="00B477A0"/>
    <w:rsid w:val="00B478EC"/>
    <w:rsid w:val="00B5209B"/>
    <w:rsid w:val="00B53613"/>
    <w:rsid w:val="00B5459A"/>
    <w:rsid w:val="00B54E85"/>
    <w:rsid w:val="00B54F04"/>
    <w:rsid w:val="00B6074B"/>
    <w:rsid w:val="00B6092D"/>
    <w:rsid w:val="00B60C22"/>
    <w:rsid w:val="00B642A9"/>
    <w:rsid w:val="00B643CF"/>
    <w:rsid w:val="00B65D09"/>
    <w:rsid w:val="00B65E03"/>
    <w:rsid w:val="00B65FE4"/>
    <w:rsid w:val="00B6693B"/>
    <w:rsid w:val="00B67987"/>
    <w:rsid w:val="00B67CC2"/>
    <w:rsid w:val="00B70FA9"/>
    <w:rsid w:val="00B7121E"/>
    <w:rsid w:val="00B714DE"/>
    <w:rsid w:val="00B71CE7"/>
    <w:rsid w:val="00B72DBD"/>
    <w:rsid w:val="00B7324B"/>
    <w:rsid w:val="00B7421A"/>
    <w:rsid w:val="00B74460"/>
    <w:rsid w:val="00B7518E"/>
    <w:rsid w:val="00B768BC"/>
    <w:rsid w:val="00B76A21"/>
    <w:rsid w:val="00B7709E"/>
    <w:rsid w:val="00B77B91"/>
    <w:rsid w:val="00B80C92"/>
    <w:rsid w:val="00B81647"/>
    <w:rsid w:val="00B8202D"/>
    <w:rsid w:val="00B84EA3"/>
    <w:rsid w:val="00B8618D"/>
    <w:rsid w:val="00B868F1"/>
    <w:rsid w:val="00B92BAE"/>
    <w:rsid w:val="00B92E63"/>
    <w:rsid w:val="00B953C6"/>
    <w:rsid w:val="00B96212"/>
    <w:rsid w:val="00B965C5"/>
    <w:rsid w:val="00B96786"/>
    <w:rsid w:val="00B96A80"/>
    <w:rsid w:val="00B96E6E"/>
    <w:rsid w:val="00BA0F78"/>
    <w:rsid w:val="00BA1218"/>
    <w:rsid w:val="00BA1A33"/>
    <w:rsid w:val="00BA2295"/>
    <w:rsid w:val="00BA246E"/>
    <w:rsid w:val="00BA2AF4"/>
    <w:rsid w:val="00BA3FA3"/>
    <w:rsid w:val="00BA548E"/>
    <w:rsid w:val="00BA6257"/>
    <w:rsid w:val="00BA6474"/>
    <w:rsid w:val="00BA690E"/>
    <w:rsid w:val="00BA7371"/>
    <w:rsid w:val="00BB0A03"/>
    <w:rsid w:val="00BB1AEA"/>
    <w:rsid w:val="00BB3293"/>
    <w:rsid w:val="00BB32F3"/>
    <w:rsid w:val="00BB3CB7"/>
    <w:rsid w:val="00BB46C2"/>
    <w:rsid w:val="00BB6BC1"/>
    <w:rsid w:val="00BB70E1"/>
    <w:rsid w:val="00BB7BB5"/>
    <w:rsid w:val="00BB7DFB"/>
    <w:rsid w:val="00BC0010"/>
    <w:rsid w:val="00BC1220"/>
    <w:rsid w:val="00BC166D"/>
    <w:rsid w:val="00BC1B9D"/>
    <w:rsid w:val="00BC317B"/>
    <w:rsid w:val="00BC35F5"/>
    <w:rsid w:val="00BC4C50"/>
    <w:rsid w:val="00BC5080"/>
    <w:rsid w:val="00BC6216"/>
    <w:rsid w:val="00BC67FC"/>
    <w:rsid w:val="00BC7A5F"/>
    <w:rsid w:val="00BD0262"/>
    <w:rsid w:val="00BD1AD3"/>
    <w:rsid w:val="00BD426B"/>
    <w:rsid w:val="00BD52AE"/>
    <w:rsid w:val="00BD587A"/>
    <w:rsid w:val="00BD5CDC"/>
    <w:rsid w:val="00BD6E47"/>
    <w:rsid w:val="00BD7F96"/>
    <w:rsid w:val="00BE0043"/>
    <w:rsid w:val="00BE144B"/>
    <w:rsid w:val="00BE235F"/>
    <w:rsid w:val="00BE3372"/>
    <w:rsid w:val="00BE5392"/>
    <w:rsid w:val="00BE5A01"/>
    <w:rsid w:val="00BF004C"/>
    <w:rsid w:val="00BF0084"/>
    <w:rsid w:val="00BF19A1"/>
    <w:rsid w:val="00BF1B38"/>
    <w:rsid w:val="00BF2584"/>
    <w:rsid w:val="00BF25CE"/>
    <w:rsid w:val="00BF2705"/>
    <w:rsid w:val="00BF320B"/>
    <w:rsid w:val="00BF3344"/>
    <w:rsid w:val="00BF39E7"/>
    <w:rsid w:val="00BF3E3C"/>
    <w:rsid w:val="00BF409C"/>
    <w:rsid w:val="00BF4616"/>
    <w:rsid w:val="00C00654"/>
    <w:rsid w:val="00C00C7B"/>
    <w:rsid w:val="00C02153"/>
    <w:rsid w:val="00C02640"/>
    <w:rsid w:val="00C02EAD"/>
    <w:rsid w:val="00C03978"/>
    <w:rsid w:val="00C0477A"/>
    <w:rsid w:val="00C05800"/>
    <w:rsid w:val="00C05CE7"/>
    <w:rsid w:val="00C0639D"/>
    <w:rsid w:val="00C0702A"/>
    <w:rsid w:val="00C074C2"/>
    <w:rsid w:val="00C13218"/>
    <w:rsid w:val="00C1337D"/>
    <w:rsid w:val="00C13CD0"/>
    <w:rsid w:val="00C1476C"/>
    <w:rsid w:val="00C14882"/>
    <w:rsid w:val="00C15218"/>
    <w:rsid w:val="00C152B2"/>
    <w:rsid w:val="00C15D08"/>
    <w:rsid w:val="00C16B96"/>
    <w:rsid w:val="00C171D6"/>
    <w:rsid w:val="00C22CFB"/>
    <w:rsid w:val="00C23301"/>
    <w:rsid w:val="00C24402"/>
    <w:rsid w:val="00C246EB"/>
    <w:rsid w:val="00C24821"/>
    <w:rsid w:val="00C259DF"/>
    <w:rsid w:val="00C2642E"/>
    <w:rsid w:val="00C26445"/>
    <w:rsid w:val="00C30E2D"/>
    <w:rsid w:val="00C320F3"/>
    <w:rsid w:val="00C32C72"/>
    <w:rsid w:val="00C343A1"/>
    <w:rsid w:val="00C344B6"/>
    <w:rsid w:val="00C347D3"/>
    <w:rsid w:val="00C353E0"/>
    <w:rsid w:val="00C36CD9"/>
    <w:rsid w:val="00C37A68"/>
    <w:rsid w:val="00C37D21"/>
    <w:rsid w:val="00C4016A"/>
    <w:rsid w:val="00C406AC"/>
    <w:rsid w:val="00C42053"/>
    <w:rsid w:val="00C42CFF"/>
    <w:rsid w:val="00C42F29"/>
    <w:rsid w:val="00C43985"/>
    <w:rsid w:val="00C45726"/>
    <w:rsid w:val="00C45CD3"/>
    <w:rsid w:val="00C46589"/>
    <w:rsid w:val="00C46841"/>
    <w:rsid w:val="00C47042"/>
    <w:rsid w:val="00C503EB"/>
    <w:rsid w:val="00C514B2"/>
    <w:rsid w:val="00C515FF"/>
    <w:rsid w:val="00C52845"/>
    <w:rsid w:val="00C5299D"/>
    <w:rsid w:val="00C529D2"/>
    <w:rsid w:val="00C53091"/>
    <w:rsid w:val="00C5476B"/>
    <w:rsid w:val="00C54D58"/>
    <w:rsid w:val="00C5639E"/>
    <w:rsid w:val="00C569EF"/>
    <w:rsid w:val="00C56CA4"/>
    <w:rsid w:val="00C577FC"/>
    <w:rsid w:val="00C57982"/>
    <w:rsid w:val="00C61161"/>
    <w:rsid w:val="00C61F4E"/>
    <w:rsid w:val="00C63813"/>
    <w:rsid w:val="00C65988"/>
    <w:rsid w:val="00C67C2C"/>
    <w:rsid w:val="00C7018B"/>
    <w:rsid w:val="00C70ED8"/>
    <w:rsid w:val="00C70F6A"/>
    <w:rsid w:val="00C718CB"/>
    <w:rsid w:val="00C72689"/>
    <w:rsid w:val="00C72AB3"/>
    <w:rsid w:val="00C73B97"/>
    <w:rsid w:val="00C74218"/>
    <w:rsid w:val="00C74CEE"/>
    <w:rsid w:val="00C77288"/>
    <w:rsid w:val="00C772A0"/>
    <w:rsid w:val="00C80090"/>
    <w:rsid w:val="00C823CB"/>
    <w:rsid w:val="00C840B0"/>
    <w:rsid w:val="00C857A1"/>
    <w:rsid w:val="00C85864"/>
    <w:rsid w:val="00C87A6B"/>
    <w:rsid w:val="00C87D13"/>
    <w:rsid w:val="00C87DFB"/>
    <w:rsid w:val="00C87EF4"/>
    <w:rsid w:val="00C9007F"/>
    <w:rsid w:val="00C90CE4"/>
    <w:rsid w:val="00C90ECC"/>
    <w:rsid w:val="00C91C13"/>
    <w:rsid w:val="00C9212F"/>
    <w:rsid w:val="00C9218C"/>
    <w:rsid w:val="00C941DC"/>
    <w:rsid w:val="00C94462"/>
    <w:rsid w:val="00C95496"/>
    <w:rsid w:val="00CA015A"/>
    <w:rsid w:val="00CA0863"/>
    <w:rsid w:val="00CA09C0"/>
    <w:rsid w:val="00CA11DE"/>
    <w:rsid w:val="00CA3816"/>
    <w:rsid w:val="00CA51B6"/>
    <w:rsid w:val="00CA643A"/>
    <w:rsid w:val="00CA6C62"/>
    <w:rsid w:val="00CA704C"/>
    <w:rsid w:val="00CA7391"/>
    <w:rsid w:val="00CA7948"/>
    <w:rsid w:val="00CB0091"/>
    <w:rsid w:val="00CB128D"/>
    <w:rsid w:val="00CB1AC5"/>
    <w:rsid w:val="00CB201D"/>
    <w:rsid w:val="00CB2AA1"/>
    <w:rsid w:val="00CB309C"/>
    <w:rsid w:val="00CB3272"/>
    <w:rsid w:val="00CB486B"/>
    <w:rsid w:val="00CB4C1E"/>
    <w:rsid w:val="00CB583E"/>
    <w:rsid w:val="00CB5D32"/>
    <w:rsid w:val="00CB664A"/>
    <w:rsid w:val="00CB6A7D"/>
    <w:rsid w:val="00CB6CB0"/>
    <w:rsid w:val="00CB6CC4"/>
    <w:rsid w:val="00CC05D7"/>
    <w:rsid w:val="00CC1073"/>
    <w:rsid w:val="00CC2435"/>
    <w:rsid w:val="00CC2C49"/>
    <w:rsid w:val="00CC2DED"/>
    <w:rsid w:val="00CC35E8"/>
    <w:rsid w:val="00CC5576"/>
    <w:rsid w:val="00CC5CD1"/>
    <w:rsid w:val="00CC7627"/>
    <w:rsid w:val="00CD0158"/>
    <w:rsid w:val="00CD1A9B"/>
    <w:rsid w:val="00CD31F9"/>
    <w:rsid w:val="00CD37C1"/>
    <w:rsid w:val="00CD56BB"/>
    <w:rsid w:val="00CE0177"/>
    <w:rsid w:val="00CE076C"/>
    <w:rsid w:val="00CE166F"/>
    <w:rsid w:val="00CE1D7F"/>
    <w:rsid w:val="00CE2148"/>
    <w:rsid w:val="00CE2418"/>
    <w:rsid w:val="00CE2FBE"/>
    <w:rsid w:val="00CE4B0F"/>
    <w:rsid w:val="00CE74F7"/>
    <w:rsid w:val="00CF05AC"/>
    <w:rsid w:val="00CF1946"/>
    <w:rsid w:val="00CF2DD2"/>
    <w:rsid w:val="00CF3323"/>
    <w:rsid w:val="00CF4B47"/>
    <w:rsid w:val="00CF4FBB"/>
    <w:rsid w:val="00CF5A3A"/>
    <w:rsid w:val="00CF66A7"/>
    <w:rsid w:val="00D02D2D"/>
    <w:rsid w:val="00D03915"/>
    <w:rsid w:val="00D03F49"/>
    <w:rsid w:val="00D05A00"/>
    <w:rsid w:val="00D0746E"/>
    <w:rsid w:val="00D1027D"/>
    <w:rsid w:val="00D10AB4"/>
    <w:rsid w:val="00D11E36"/>
    <w:rsid w:val="00D11E7B"/>
    <w:rsid w:val="00D12B82"/>
    <w:rsid w:val="00D13894"/>
    <w:rsid w:val="00D13A38"/>
    <w:rsid w:val="00D13BC2"/>
    <w:rsid w:val="00D17F72"/>
    <w:rsid w:val="00D202F5"/>
    <w:rsid w:val="00D203BF"/>
    <w:rsid w:val="00D204CE"/>
    <w:rsid w:val="00D20C1B"/>
    <w:rsid w:val="00D23223"/>
    <w:rsid w:val="00D244F9"/>
    <w:rsid w:val="00D2494F"/>
    <w:rsid w:val="00D2589A"/>
    <w:rsid w:val="00D26842"/>
    <w:rsid w:val="00D3102A"/>
    <w:rsid w:val="00D32780"/>
    <w:rsid w:val="00D3413F"/>
    <w:rsid w:val="00D34457"/>
    <w:rsid w:val="00D34F42"/>
    <w:rsid w:val="00D3533B"/>
    <w:rsid w:val="00D35378"/>
    <w:rsid w:val="00D35962"/>
    <w:rsid w:val="00D36477"/>
    <w:rsid w:val="00D36D7F"/>
    <w:rsid w:val="00D36D95"/>
    <w:rsid w:val="00D37780"/>
    <w:rsid w:val="00D378CA"/>
    <w:rsid w:val="00D4053E"/>
    <w:rsid w:val="00D41DDA"/>
    <w:rsid w:val="00D420C3"/>
    <w:rsid w:val="00D439C6"/>
    <w:rsid w:val="00D43C28"/>
    <w:rsid w:val="00D442A3"/>
    <w:rsid w:val="00D5061E"/>
    <w:rsid w:val="00D506CF"/>
    <w:rsid w:val="00D526C4"/>
    <w:rsid w:val="00D542A2"/>
    <w:rsid w:val="00D56730"/>
    <w:rsid w:val="00D57121"/>
    <w:rsid w:val="00D57895"/>
    <w:rsid w:val="00D6061E"/>
    <w:rsid w:val="00D61143"/>
    <w:rsid w:val="00D61690"/>
    <w:rsid w:val="00D63100"/>
    <w:rsid w:val="00D6361B"/>
    <w:rsid w:val="00D64E35"/>
    <w:rsid w:val="00D65729"/>
    <w:rsid w:val="00D66D72"/>
    <w:rsid w:val="00D67424"/>
    <w:rsid w:val="00D72279"/>
    <w:rsid w:val="00D72886"/>
    <w:rsid w:val="00D72CEA"/>
    <w:rsid w:val="00D73C75"/>
    <w:rsid w:val="00D7414C"/>
    <w:rsid w:val="00D7439C"/>
    <w:rsid w:val="00D7497F"/>
    <w:rsid w:val="00D7552F"/>
    <w:rsid w:val="00D755BA"/>
    <w:rsid w:val="00D755DC"/>
    <w:rsid w:val="00D76385"/>
    <w:rsid w:val="00D772E3"/>
    <w:rsid w:val="00D80128"/>
    <w:rsid w:val="00D807A9"/>
    <w:rsid w:val="00D807B9"/>
    <w:rsid w:val="00D80A37"/>
    <w:rsid w:val="00D80AC3"/>
    <w:rsid w:val="00D81507"/>
    <w:rsid w:val="00D8154B"/>
    <w:rsid w:val="00D81872"/>
    <w:rsid w:val="00D81B22"/>
    <w:rsid w:val="00D821D2"/>
    <w:rsid w:val="00D822E4"/>
    <w:rsid w:val="00D83158"/>
    <w:rsid w:val="00D840A3"/>
    <w:rsid w:val="00D874C0"/>
    <w:rsid w:val="00D87AB4"/>
    <w:rsid w:val="00D91E70"/>
    <w:rsid w:val="00D91F06"/>
    <w:rsid w:val="00D928EA"/>
    <w:rsid w:val="00D92956"/>
    <w:rsid w:val="00D93E42"/>
    <w:rsid w:val="00D93E6D"/>
    <w:rsid w:val="00D96BB4"/>
    <w:rsid w:val="00D974DB"/>
    <w:rsid w:val="00D97DF3"/>
    <w:rsid w:val="00DA1049"/>
    <w:rsid w:val="00DA1812"/>
    <w:rsid w:val="00DA1849"/>
    <w:rsid w:val="00DA2FC1"/>
    <w:rsid w:val="00DA36BD"/>
    <w:rsid w:val="00DA3959"/>
    <w:rsid w:val="00DA48F0"/>
    <w:rsid w:val="00DA5E26"/>
    <w:rsid w:val="00DA71B7"/>
    <w:rsid w:val="00DB068F"/>
    <w:rsid w:val="00DB076B"/>
    <w:rsid w:val="00DB1DFB"/>
    <w:rsid w:val="00DB3101"/>
    <w:rsid w:val="00DB34DD"/>
    <w:rsid w:val="00DB3786"/>
    <w:rsid w:val="00DB3A2A"/>
    <w:rsid w:val="00DB3CB4"/>
    <w:rsid w:val="00DB40B5"/>
    <w:rsid w:val="00DB4A1C"/>
    <w:rsid w:val="00DB6101"/>
    <w:rsid w:val="00DC0E4C"/>
    <w:rsid w:val="00DC14BB"/>
    <w:rsid w:val="00DC26CC"/>
    <w:rsid w:val="00DC29C1"/>
    <w:rsid w:val="00DC2E62"/>
    <w:rsid w:val="00DC404B"/>
    <w:rsid w:val="00DC4273"/>
    <w:rsid w:val="00DC4732"/>
    <w:rsid w:val="00DC588A"/>
    <w:rsid w:val="00DC6FB0"/>
    <w:rsid w:val="00DC6FF8"/>
    <w:rsid w:val="00DC7600"/>
    <w:rsid w:val="00DC788E"/>
    <w:rsid w:val="00DD0B93"/>
    <w:rsid w:val="00DD226E"/>
    <w:rsid w:val="00DD320A"/>
    <w:rsid w:val="00DD3465"/>
    <w:rsid w:val="00DD34B0"/>
    <w:rsid w:val="00DD505C"/>
    <w:rsid w:val="00DD5940"/>
    <w:rsid w:val="00DD70BE"/>
    <w:rsid w:val="00DD7453"/>
    <w:rsid w:val="00DE004E"/>
    <w:rsid w:val="00DE0175"/>
    <w:rsid w:val="00DE13C6"/>
    <w:rsid w:val="00DE1DAC"/>
    <w:rsid w:val="00DE2255"/>
    <w:rsid w:val="00DE297B"/>
    <w:rsid w:val="00DE5212"/>
    <w:rsid w:val="00DE5659"/>
    <w:rsid w:val="00DE5C73"/>
    <w:rsid w:val="00DE604B"/>
    <w:rsid w:val="00DE679E"/>
    <w:rsid w:val="00DE68F9"/>
    <w:rsid w:val="00DF1391"/>
    <w:rsid w:val="00DF152C"/>
    <w:rsid w:val="00DF3ACB"/>
    <w:rsid w:val="00DF3F55"/>
    <w:rsid w:val="00DF4D70"/>
    <w:rsid w:val="00DF616F"/>
    <w:rsid w:val="00DF6546"/>
    <w:rsid w:val="00DF67F2"/>
    <w:rsid w:val="00DF69EC"/>
    <w:rsid w:val="00DF7164"/>
    <w:rsid w:val="00E00356"/>
    <w:rsid w:val="00E029CD"/>
    <w:rsid w:val="00E02BC2"/>
    <w:rsid w:val="00E03874"/>
    <w:rsid w:val="00E03E8B"/>
    <w:rsid w:val="00E04070"/>
    <w:rsid w:val="00E040E0"/>
    <w:rsid w:val="00E0416F"/>
    <w:rsid w:val="00E04643"/>
    <w:rsid w:val="00E04E6A"/>
    <w:rsid w:val="00E06EB4"/>
    <w:rsid w:val="00E10E2D"/>
    <w:rsid w:val="00E116D2"/>
    <w:rsid w:val="00E120D0"/>
    <w:rsid w:val="00E12D61"/>
    <w:rsid w:val="00E12F02"/>
    <w:rsid w:val="00E152CD"/>
    <w:rsid w:val="00E1545F"/>
    <w:rsid w:val="00E160FE"/>
    <w:rsid w:val="00E16948"/>
    <w:rsid w:val="00E169B8"/>
    <w:rsid w:val="00E21C06"/>
    <w:rsid w:val="00E22180"/>
    <w:rsid w:val="00E2337B"/>
    <w:rsid w:val="00E25331"/>
    <w:rsid w:val="00E26057"/>
    <w:rsid w:val="00E27BA2"/>
    <w:rsid w:val="00E35E44"/>
    <w:rsid w:val="00E35E82"/>
    <w:rsid w:val="00E371BE"/>
    <w:rsid w:val="00E37762"/>
    <w:rsid w:val="00E3785E"/>
    <w:rsid w:val="00E37992"/>
    <w:rsid w:val="00E40B0D"/>
    <w:rsid w:val="00E40BD0"/>
    <w:rsid w:val="00E43470"/>
    <w:rsid w:val="00E435F3"/>
    <w:rsid w:val="00E4501A"/>
    <w:rsid w:val="00E45FBB"/>
    <w:rsid w:val="00E461F1"/>
    <w:rsid w:val="00E464D1"/>
    <w:rsid w:val="00E47387"/>
    <w:rsid w:val="00E4779B"/>
    <w:rsid w:val="00E51486"/>
    <w:rsid w:val="00E516A5"/>
    <w:rsid w:val="00E51931"/>
    <w:rsid w:val="00E53707"/>
    <w:rsid w:val="00E54E2D"/>
    <w:rsid w:val="00E55C42"/>
    <w:rsid w:val="00E55EF7"/>
    <w:rsid w:val="00E57FA9"/>
    <w:rsid w:val="00E60D43"/>
    <w:rsid w:val="00E61827"/>
    <w:rsid w:val="00E65637"/>
    <w:rsid w:val="00E66C48"/>
    <w:rsid w:val="00E670CA"/>
    <w:rsid w:val="00E67386"/>
    <w:rsid w:val="00E70EA3"/>
    <w:rsid w:val="00E71589"/>
    <w:rsid w:val="00E727BE"/>
    <w:rsid w:val="00E74FB9"/>
    <w:rsid w:val="00E75459"/>
    <w:rsid w:val="00E759FD"/>
    <w:rsid w:val="00E7623A"/>
    <w:rsid w:val="00E774A2"/>
    <w:rsid w:val="00E8055E"/>
    <w:rsid w:val="00E80F76"/>
    <w:rsid w:val="00E8110A"/>
    <w:rsid w:val="00E81CC2"/>
    <w:rsid w:val="00E81F1A"/>
    <w:rsid w:val="00E8418C"/>
    <w:rsid w:val="00E847AE"/>
    <w:rsid w:val="00E85BD7"/>
    <w:rsid w:val="00E90D78"/>
    <w:rsid w:val="00E92D13"/>
    <w:rsid w:val="00E92E99"/>
    <w:rsid w:val="00E9353E"/>
    <w:rsid w:val="00E94144"/>
    <w:rsid w:val="00E9454B"/>
    <w:rsid w:val="00E95233"/>
    <w:rsid w:val="00E953B1"/>
    <w:rsid w:val="00E953CB"/>
    <w:rsid w:val="00E959D3"/>
    <w:rsid w:val="00E96302"/>
    <w:rsid w:val="00E96365"/>
    <w:rsid w:val="00E978CA"/>
    <w:rsid w:val="00EA0F5B"/>
    <w:rsid w:val="00EA287A"/>
    <w:rsid w:val="00EA36A9"/>
    <w:rsid w:val="00EA4D12"/>
    <w:rsid w:val="00EA5C6B"/>
    <w:rsid w:val="00EA6133"/>
    <w:rsid w:val="00EA6E9B"/>
    <w:rsid w:val="00EA78C3"/>
    <w:rsid w:val="00EA7FED"/>
    <w:rsid w:val="00EB0207"/>
    <w:rsid w:val="00EB14C9"/>
    <w:rsid w:val="00EB1F56"/>
    <w:rsid w:val="00EB2DAB"/>
    <w:rsid w:val="00EB39F4"/>
    <w:rsid w:val="00EB5732"/>
    <w:rsid w:val="00EB6391"/>
    <w:rsid w:val="00EB6DFF"/>
    <w:rsid w:val="00EB7326"/>
    <w:rsid w:val="00EC1841"/>
    <w:rsid w:val="00EC2337"/>
    <w:rsid w:val="00EC31DD"/>
    <w:rsid w:val="00EC47F2"/>
    <w:rsid w:val="00EC523B"/>
    <w:rsid w:val="00EC5E46"/>
    <w:rsid w:val="00EC70AF"/>
    <w:rsid w:val="00EC7BB1"/>
    <w:rsid w:val="00EC7EC1"/>
    <w:rsid w:val="00ED159B"/>
    <w:rsid w:val="00ED353F"/>
    <w:rsid w:val="00ED3813"/>
    <w:rsid w:val="00ED4CFD"/>
    <w:rsid w:val="00ED5497"/>
    <w:rsid w:val="00ED7E77"/>
    <w:rsid w:val="00EE2CD8"/>
    <w:rsid w:val="00EE35CA"/>
    <w:rsid w:val="00EE3706"/>
    <w:rsid w:val="00EE46F0"/>
    <w:rsid w:val="00EE4838"/>
    <w:rsid w:val="00EE63F5"/>
    <w:rsid w:val="00EE64C6"/>
    <w:rsid w:val="00EE651A"/>
    <w:rsid w:val="00EE6EB0"/>
    <w:rsid w:val="00EE792F"/>
    <w:rsid w:val="00EF028A"/>
    <w:rsid w:val="00EF1273"/>
    <w:rsid w:val="00EF1476"/>
    <w:rsid w:val="00EF2C14"/>
    <w:rsid w:val="00EF33E1"/>
    <w:rsid w:val="00EF3D74"/>
    <w:rsid w:val="00EF4E34"/>
    <w:rsid w:val="00EF52E4"/>
    <w:rsid w:val="00EF55F6"/>
    <w:rsid w:val="00EF6E29"/>
    <w:rsid w:val="00F00143"/>
    <w:rsid w:val="00F01FD5"/>
    <w:rsid w:val="00F03581"/>
    <w:rsid w:val="00F07837"/>
    <w:rsid w:val="00F10E99"/>
    <w:rsid w:val="00F113E7"/>
    <w:rsid w:val="00F124E3"/>
    <w:rsid w:val="00F128CC"/>
    <w:rsid w:val="00F12A99"/>
    <w:rsid w:val="00F12BC0"/>
    <w:rsid w:val="00F13A50"/>
    <w:rsid w:val="00F14B96"/>
    <w:rsid w:val="00F17602"/>
    <w:rsid w:val="00F1778E"/>
    <w:rsid w:val="00F20240"/>
    <w:rsid w:val="00F20584"/>
    <w:rsid w:val="00F21FF9"/>
    <w:rsid w:val="00F22A9A"/>
    <w:rsid w:val="00F23E0F"/>
    <w:rsid w:val="00F24957"/>
    <w:rsid w:val="00F24BBE"/>
    <w:rsid w:val="00F25002"/>
    <w:rsid w:val="00F25BD3"/>
    <w:rsid w:val="00F25CA9"/>
    <w:rsid w:val="00F25CAE"/>
    <w:rsid w:val="00F25FEF"/>
    <w:rsid w:val="00F2648B"/>
    <w:rsid w:val="00F2760C"/>
    <w:rsid w:val="00F301CC"/>
    <w:rsid w:val="00F30352"/>
    <w:rsid w:val="00F30A17"/>
    <w:rsid w:val="00F30B3F"/>
    <w:rsid w:val="00F3224B"/>
    <w:rsid w:val="00F337C0"/>
    <w:rsid w:val="00F348BE"/>
    <w:rsid w:val="00F35F7D"/>
    <w:rsid w:val="00F36256"/>
    <w:rsid w:val="00F36271"/>
    <w:rsid w:val="00F40378"/>
    <w:rsid w:val="00F40591"/>
    <w:rsid w:val="00F4120E"/>
    <w:rsid w:val="00F41819"/>
    <w:rsid w:val="00F41F8D"/>
    <w:rsid w:val="00F4326B"/>
    <w:rsid w:val="00F44129"/>
    <w:rsid w:val="00F466FD"/>
    <w:rsid w:val="00F476DE"/>
    <w:rsid w:val="00F477E5"/>
    <w:rsid w:val="00F47E06"/>
    <w:rsid w:val="00F50130"/>
    <w:rsid w:val="00F50B2A"/>
    <w:rsid w:val="00F56E0B"/>
    <w:rsid w:val="00F57DD8"/>
    <w:rsid w:val="00F605A6"/>
    <w:rsid w:val="00F621E1"/>
    <w:rsid w:val="00F6254D"/>
    <w:rsid w:val="00F62923"/>
    <w:rsid w:val="00F65261"/>
    <w:rsid w:val="00F65BD6"/>
    <w:rsid w:val="00F675CE"/>
    <w:rsid w:val="00F679B9"/>
    <w:rsid w:val="00F67CD2"/>
    <w:rsid w:val="00F70494"/>
    <w:rsid w:val="00F706D3"/>
    <w:rsid w:val="00F70765"/>
    <w:rsid w:val="00F726D0"/>
    <w:rsid w:val="00F72C25"/>
    <w:rsid w:val="00F72DC4"/>
    <w:rsid w:val="00F72F22"/>
    <w:rsid w:val="00F7378B"/>
    <w:rsid w:val="00F74058"/>
    <w:rsid w:val="00F74B18"/>
    <w:rsid w:val="00F74E15"/>
    <w:rsid w:val="00F74F06"/>
    <w:rsid w:val="00F76ACA"/>
    <w:rsid w:val="00F804A9"/>
    <w:rsid w:val="00F814D2"/>
    <w:rsid w:val="00F84B07"/>
    <w:rsid w:val="00F84B52"/>
    <w:rsid w:val="00F852FD"/>
    <w:rsid w:val="00F86E17"/>
    <w:rsid w:val="00F87DBF"/>
    <w:rsid w:val="00F91728"/>
    <w:rsid w:val="00F92120"/>
    <w:rsid w:val="00F92909"/>
    <w:rsid w:val="00F93BBA"/>
    <w:rsid w:val="00F95655"/>
    <w:rsid w:val="00F95A8E"/>
    <w:rsid w:val="00F96B75"/>
    <w:rsid w:val="00FA015A"/>
    <w:rsid w:val="00FA032F"/>
    <w:rsid w:val="00FA1871"/>
    <w:rsid w:val="00FA1992"/>
    <w:rsid w:val="00FA5952"/>
    <w:rsid w:val="00FA665B"/>
    <w:rsid w:val="00FA7061"/>
    <w:rsid w:val="00FA70D9"/>
    <w:rsid w:val="00FB19B8"/>
    <w:rsid w:val="00FB2030"/>
    <w:rsid w:val="00FB267B"/>
    <w:rsid w:val="00FB37A1"/>
    <w:rsid w:val="00FB4C88"/>
    <w:rsid w:val="00FB5948"/>
    <w:rsid w:val="00FB7EFB"/>
    <w:rsid w:val="00FC1107"/>
    <w:rsid w:val="00FC251D"/>
    <w:rsid w:val="00FC2538"/>
    <w:rsid w:val="00FC377D"/>
    <w:rsid w:val="00FC5E9B"/>
    <w:rsid w:val="00FC6C12"/>
    <w:rsid w:val="00FC7A15"/>
    <w:rsid w:val="00FD2964"/>
    <w:rsid w:val="00FD4406"/>
    <w:rsid w:val="00FD64A1"/>
    <w:rsid w:val="00FD769F"/>
    <w:rsid w:val="00FD7A80"/>
    <w:rsid w:val="00FD7C15"/>
    <w:rsid w:val="00FE0E50"/>
    <w:rsid w:val="00FE1188"/>
    <w:rsid w:val="00FE1835"/>
    <w:rsid w:val="00FE4F6E"/>
    <w:rsid w:val="00FE71FE"/>
    <w:rsid w:val="00FE7840"/>
    <w:rsid w:val="00FE7B28"/>
    <w:rsid w:val="00FE7C2F"/>
    <w:rsid w:val="00FF12CF"/>
    <w:rsid w:val="00FF355E"/>
    <w:rsid w:val="00FF3B26"/>
    <w:rsid w:val="00FF4631"/>
    <w:rsid w:val="00FF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1A0D"/>
  <w15:docId w15:val="{320FAA05-BDFB-47B2-9894-8F5BA4E9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444B"/>
    <w:pPr>
      <w:spacing w:before="120" w:after="120" w:line="340" w:lineRule="exact"/>
      <w:ind w:firstLine="567"/>
      <w:jc w:val="both"/>
      <w:outlineLvl w:val="0"/>
    </w:pPr>
    <w:rPr>
      <w:b/>
      <w:sz w:val="26"/>
      <w:szCs w:val="26"/>
    </w:rPr>
  </w:style>
  <w:style w:type="paragraph" w:styleId="Heading3">
    <w:name w:val="heading 3"/>
    <w:basedOn w:val="Normal"/>
    <w:next w:val="Normal"/>
    <w:link w:val="Heading3Char"/>
    <w:qFormat/>
    <w:rsid w:val="00A4100B"/>
    <w:pPr>
      <w:keepNext/>
      <w:adjustRightInd w:val="0"/>
      <w:snapToGrid w:val="0"/>
      <w:spacing w:after="0" w:line="264" w:lineRule="auto"/>
      <w:ind w:firstLine="567"/>
      <w:outlineLvl w:val="2"/>
    </w:pPr>
    <w:rPr>
      <w:rFonts w:eastAsia="SimSun" w:cs="Times New Roman"/>
      <w:b/>
      <w:bCs/>
      <w:szCs w:val="28"/>
      <w:lang w:val="x-none" w:eastAsia="zh-CN"/>
    </w:rPr>
  </w:style>
  <w:style w:type="paragraph" w:styleId="Heading4">
    <w:name w:val="heading 4"/>
    <w:basedOn w:val="Normal"/>
    <w:next w:val="Normal"/>
    <w:link w:val="Heading4Char"/>
    <w:qFormat/>
    <w:rsid w:val="00A94323"/>
    <w:pPr>
      <w:keepNext/>
      <w:adjustRightInd w:val="0"/>
      <w:snapToGrid w:val="0"/>
      <w:spacing w:before="120" w:after="0" w:line="264" w:lineRule="auto"/>
      <w:ind w:firstLine="720"/>
      <w:jc w:val="both"/>
      <w:outlineLvl w:val="3"/>
    </w:pPr>
    <w:rPr>
      <w:rFonts w:eastAsia="SimSun" w:cs="Times New Roman"/>
      <w:bCs/>
      <w:i/>
      <w:iCs/>
      <w:szCs w:val="24"/>
      <w:lang w:val="pt-BR" w:eastAsia="zh-CN"/>
    </w:rPr>
  </w:style>
  <w:style w:type="paragraph" w:styleId="Heading5">
    <w:name w:val="heading 5"/>
    <w:basedOn w:val="Normal"/>
    <w:next w:val="Normal"/>
    <w:link w:val="Heading5Char"/>
    <w:qFormat/>
    <w:rsid w:val="007E215F"/>
    <w:pPr>
      <w:keepNext/>
      <w:autoSpaceDE w:val="0"/>
      <w:autoSpaceDN w:val="0"/>
      <w:spacing w:after="0" w:line="240" w:lineRule="auto"/>
      <w:ind w:firstLine="720"/>
      <w:jc w:val="both"/>
      <w:outlineLvl w:val="4"/>
    </w:pPr>
    <w:rPr>
      <w:rFonts w:eastAsia="Times New Roman" w:cs="Times New Roman"/>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
    <w:basedOn w:val="Normal"/>
    <w:link w:val="FootnoteTextChar"/>
    <w:unhideWhenUsed/>
    <w:qFormat/>
    <w:rsid w:val="00A72597"/>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 Char Char,single spac Char1"/>
    <w:basedOn w:val="DefaultParagraphFont"/>
    <w:link w:val="FootnoteText"/>
    <w:uiPriority w:val="99"/>
    <w:qFormat/>
    <w:rsid w:val="00A72597"/>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iPriority w:val="99"/>
    <w:unhideWhenUsed/>
    <w:qFormat/>
    <w:rsid w:val="00A72597"/>
    <w:rPr>
      <w:vertAlign w:val="superscript"/>
    </w:rPr>
  </w:style>
  <w:style w:type="paragraph" w:styleId="Header">
    <w:name w:val="header"/>
    <w:basedOn w:val="Normal"/>
    <w:link w:val="HeaderChar"/>
    <w:uiPriority w:val="99"/>
    <w:unhideWhenUsed/>
    <w:rsid w:val="00CB3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09C"/>
  </w:style>
  <w:style w:type="paragraph" w:styleId="Footer">
    <w:name w:val="footer"/>
    <w:basedOn w:val="Normal"/>
    <w:link w:val="FooterChar"/>
    <w:uiPriority w:val="99"/>
    <w:unhideWhenUsed/>
    <w:rsid w:val="00CB3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9C"/>
  </w:style>
  <w:style w:type="paragraph" w:styleId="BodyTextIndent">
    <w:name w:val="Body Text Indent"/>
    <w:basedOn w:val="Normal"/>
    <w:link w:val="BodyTextIndentChar"/>
    <w:rsid w:val="00AC50C5"/>
    <w:pPr>
      <w:spacing w:after="120" w:line="240" w:lineRule="auto"/>
      <w:ind w:left="360"/>
    </w:pPr>
    <w:rPr>
      <w:rFonts w:eastAsia="Times New Roman" w:cs="Times New Roman"/>
      <w:szCs w:val="28"/>
      <w:lang w:val="x-none" w:eastAsia="x-none"/>
    </w:rPr>
  </w:style>
  <w:style w:type="character" w:customStyle="1" w:styleId="BodyTextIndentChar">
    <w:name w:val="Body Text Indent Char"/>
    <w:basedOn w:val="DefaultParagraphFont"/>
    <w:link w:val="BodyTextIndent"/>
    <w:rsid w:val="00AC50C5"/>
    <w:rPr>
      <w:rFonts w:eastAsia="Times New Roman" w:cs="Times New Roman"/>
      <w:szCs w:val="28"/>
      <w:lang w:val="x-none" w:eastAsia="x-none"/>
    </w:rPr>
  </w:style>
  <w:style w:type="character" w:customStyle="1" w:styleId="Heading1Char">
    <w:name w:val="Heading 1 Char"/>
    <w:basedOn w:val="DefaultParagraphFont"/>
    <w:link w:val="Heading1"/>
    <w:rsid w:val="00A2444B"/>
    <w:rPr>
      <w:b/>
      <w:sz w:val="26"/>
      <w:szCs w:val="26"/>
    </w:rPr>
  </w:style>
  <w:style w:type="character" w:customStyle="1" w:styleId="Heading3Char">
    <w:name w:val="Heading 3 Char"/>
    <w:basedOn w:val="DefaultParagraphFont"/>
    <w:link w:val="Heading3"/>
    <w:rsid w:val="00A4100B"/>
    <w:rPr>
      <w:rFonts w:eastAsia="SimSun" w:cs="Times New Roman"/>
      <w:b/>
      <w:bCs/>
      <w:szCs w:val="28"/>
      <w:lang w:val="x-none" w:eastAsia="zh-CN"/>
    </w:rPr>
  </w:style>
  <w:style w:type="character" w:customStyle="1" w:styleId="Heading4Char">
    <w:name w:val="Heading 4 Char"/>
    <w:basedOn w:val="DefaultParagraphFont"/>
    <w:link w:val="Heading4"/>
    <w:uiPriority w:val="9"/>
    <w:rsid w:val="00A94323"/>
    <w:rPr>
      <w:rFonts w:eastAsia="SimSun" w:cs="Times New Roman"/>
      <w:bCs/>
      <w:i/>
      <w:iCs/>
      <w:szCs w:val="24"/>
      <w:lang w:val="pt-BR" w:eastAsia="zh-CN"/>
    </w:rPr>
  </w:style>
  <w:style w:type="character" w:customStyle="1" w:styleId="Heading5Char">
    <w:name w:val="Heading 5 Char"/>
    <w:basedOn w:val="DefaultParagraphFont"/>
    <w:link w:val="Heading5"/>
    <w:rsid w:val="007E215F"/>
    <w:rPr>
      <w:rFonts w:eastAsia="Times New Roman" w:cs="Times New Roman"/>
      <w:szCs w:val="28"/>
      <w:lang w:val="en-GB" w:eastAsia="x-none"/>
    </w:rPr>
  </w:style>
  <w:style w:type="paragraph" w:styleId="BodyText">
    <w:name w:val="Body Text"/>
    <w:basedOn w:val="Normal"/>
    <w:link w:val="BodyTextChar"/>
    <w:unhideWhenUsed/>
    <w:rsid w:val="006F06F1"/>
    <w:pPr>
      <w:spacing w:after="120"/>
    </w:pPr>
  </w:style>
  <w:style w:type="character" w:customStyle="1" w:styleId="BodyTextChar">
    <w:name w:val="Body Text Char"/>
    <w:basedOn w:val="DefaultParagraphFont"/>
    <w:link w:val="BodyText"/>
    <w:uiPriority w:val="99"/>
    <w:semiHidden/>
    <w:rsid w:val="006F06F1"/>
  </w:style>
  <w:style w:type="paragraph" w:customStyle="1" w:styleId="n-dieund">
    <w:name w:val="n-dieund"/>
    <w:basedOn w:val="Normal"/>
    <w:rsid w:val="00F726D0"/>
    <w:pPr>
      <w:spacing w:after="120" w:line="240" w:lineRule="auto"/>
      <w:ind w:firstLine="709"/>
      <w:jc w:val="both"/>
    </w:pPr>
    <w:rPr>
      <w:rFonts w:eastAsia="Times New Roman" w:cs="Times New Roman"/>
      <w:szCs w:val="20"/>
      <w:lang w:eastAsia="ja-JP"/>
    </w:rPr>
  </w:style>
  <w:style w:type="paragraph" w:styleId="BalloonText">
    <w:name w:val="Balloon Text"/>
    <w:basedOn w:val="Normal"/>
    <w:link w:val="BalloonTextChar"/>
    <w:uiPriority w:val="99"/>
    <w:semiHidden/>
    <w:unhideWhenUsed/>
    <w:rsid w:val="00947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6C"/>
    <w:rPr>
      <w:rFonts w:ascii="Segoe UI" w:hAnsi="Segoe UI" w:cs="Segoe UI"/>
      <w:sz w:val="18"/>
      <w:szCs w:val="18"/>
    </w:rPr>
  </w:style>
  <w:style w:type="paragraph" w:styleId="ListParagraph">
    <w:name w:val="List Paragraph"/>
    <w:basedOn w:val="Normal"/>
    <w:uiPriority w:val="34"/>
    <w:qFormat/>
    <w:rsid w:val="00087360"/>
    <w:pPr>
      <w:spacing w:after="200" w:line="276" w:lineRule="auto"/>
      <w:ind w:left="720"/>
      <w:contextualSpacing/>
    </w:pPr>
    <w:rPr>
      <w:rFonts w:ascii="Arial" w:eastAsia="Arial" w:hAnsi="Arial" w:cs="Times New Roman"/>
      <w:sz w:val="22"/>
      <w:lang w:val="vi-VN"/>
    </w:rPr>
  </w:style>
  <w:style w:type="paragraph" w:styleId="CommentText">
    <w:name w:val="annotation text"/>
    <w:basedOn w:val="Normal"/>
    <w:link w:val="CommentTextChar"/>
    <w:uiPriority w:val="99"/>
    <w:rsid w:val="009F39D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9F39D5"/>
    <w:rPr>
      <w:rFonts w:ascii=".VnTime" w:eastAsia="Times New Roman" w:hAnsi=".VnTime" w:cs="Times New Roman"/>
      <w:sz w:val="20"/>
      <w:szCs w:val="20"/>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qFormat/>
    <w:rsid w:val="000E0CA7"/>
    <w:pPr>
      <w:spacing w:before="100" w:beforeAutospacing="1" w:after="100" w:afterAutospacing="1" w:line="240" w:lineRule="auto"/>
    </w:pPr>
    <w:rPr>
      <w:rFonts w:eastAsia="Times New Roman" w:cs="Times New Roman"/>
      <w:sz w:val="24"/>
      <w:szCs w:val="24"/>
    </w:rPr>
  </w:style>
  <w:style w:type="paragraph" w:customStyle="1" w:styleId="StyleHeading1NotBold1">
    <w:name w:val="Style Heading 1 + Not Bold1"/>
    <w:basedOn w:val="Heading1"/>
    <w:qFormat/>
    <w:rsid w:val="00CB583E"/>
    <w:pPr>
      <w:spacing w:line="240" w:lineRule="auto"/>
    </w:pPr>
    <w:rPr>
      <w:rFonts w:eastAsia="Times New Roman"/>
      <w:b w:val="0"/>
      <w:kern w:val="32"/>
      <w:szCs w:val="32"/>
    </w:rPr>
  </w:style>
  <w:style w:type="character" w:styleId="Hyperlink">
    <w:name w:val="Hyperlink"/>
    <w:basedOn w:val="DefaultParagraphFont"/>
    <w:uiPriority w:val="99"/>
    <w:semiHidden/>
    <w:unhideWhenUsed/>
    <w:rsid w:val="00041040"/>
    <w:rPr>
      <w:color w:val="0000FF"/>
      <w:u w:val="single"/>
    </w:rPr>
  </w:style>
  <w:style w:type="character" w:styleId="CommentReference">
    <w:name w:val="annotation reference"/>
    <w:basedOn w:val="DefaultParagraphFont"/>
    <w:uiPriority w:val="99"/>
    <w:semiHidden/>
    <w:unhideWhenUsed/>
    <w:rsid w:val="0026317B"/>
    <w:rPr>
      <w:sz w:val="16"/>
      <w:szCs w:val="16"/>
    </w:rPr>
  </w:style>
  <w:style w:type="paragraph" w:styleId="CommentSubject">
    <w:name w:val="annotation subject"/>
    <w:basedOn w:val="CommentText"/>
    <w:next w:val="CommentText"/>
    <w:link w:val="CommentSubjectChar"/>
    <w:uiPriority w:val="99"/>
    <w:semiHidden/>
    <w:unhideWhenUsed/>
    <w:rsid w:val="0026317B"/>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26317B"/>
    <w:rPr>
      <w:rFonts w:ascii=".VnTime" w:eastAsia="Times New Roman" w:hAnsi=".VnTime" w:cs="Times New Roman"/>
      <w:b/>
      <w:bCs/>
      <w:sz w:val="20"/>
      <w:szCs w:val="20"/>
    </w:rPr>
  </w:style>
  <w:style w:type="paragraph" w:styleId="Revision">
    <w:name w:val="Revision"/>
    <w:hidden/>
    <w:uiPriority w:val="99"/>
    <w:rsid w:val="00A741C8"/>
    <w:pPr>
      <w:spacing w:after="0" w:line="240" w:lineRule="auto"/>
    </w:pPr>
  </w:style>
  <w:style w:type="character" w:customStyle="1" w:styleId="FootnoteTextChar1">
    <w:name w:val="Footnote Text Char1"/>
    <w:aliases w:val="Footnote Text Char Char Char Char Char Char1,Footnote Text Char Char Char Char Char Char Ch Char,Footnote Text Char Char Char Char Char Char Ch Char Char Char Char1,single spac Char"/>
    <w:locked/>
    <w:rsid w:val="007B1094"/>
    <w:rPr>
      <w:rFonts w:ascii="Times New Roman" w:eastAsia="Times New Roman" w:hAnsi="Times New Roman" w:cs="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B1094"/>
    <w:pPr>
      <w:spacing w:line="240" w:lineRule="exact"/>
      <w:jc w:val="both"/>
    </w:pPr>
    <w:rPr>
      <w:vertAlign w:val="superscript"/>
    </w:rPr>
  </w:style>
  <w:style w:type="paragraph" w:customStyle="1" w:styleId="Noidung">
    <w:name w:val="Noi dung"/>
    <w:basedOn w:val="Normal"/>
    <w:link w:val="NoidungChar"/>
    <w:qFormat/>
    <w:rsid w:val="00EC2337"/>
    <w:pPr>
      <w:spacing w:before="120" w:after="120" w:line="240" w:lineRule="auto"/>
      <w:ind w:firstLine="720"/>
      <w:jc w:val="both"/>
    </w:pPr>
    <w:rPr>
      <w:rFonts w:eastAsia="Calibri" w:cs="Times New Roman"/>
    </w:rPr>
  </w:style>
  <w:style w:type="character" w:customStyle="1" w:styleId="NoidungChar">
    <w:name w:val="Noi dung Char"/>
    <w:link w:val="Noidung"/>
    <w:rsid w:val="00EC2337"/>
    <w:rPr>
      <w:rFonts w:eastAsia="Calibri" w:cs="Times New Roman"/>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uiPriority w:val="99"/>
    <w:rsid w:val="007938F5"/>
    <w:rPr>
      <w:rFonts w:eastAsia="Times New Roman" w:cs="Times New Roman"/>
      <w:sz w:val="24"/>
      <w:szCs w:val="24"/>
    </w:rPr>
  </w:style>
  <w:style w:type="paragraph" w:customStyle="1" w:styleId="Char1CharCharChar">
    <w:name w:val="Char1 Char Char Char"/>
    <w:basedOn w:val="Normal"/>
    <w:rsid w:val="00D43C28"/>
    <w:pPr>
      <w:spacing w:line="240" w:lineRule="exact"/>
    </w:pPr>
    <w:rPr>
      <w:rFonts w:ascii="Verdana" w:eastAsia="MS Mincho" w:hAnsi="Verdana" w:cs="Arial"/>
      <w:sz w:val="20"/>
      <w:szCs w:val="20"/>
    </w:rPr>
  </w:style>
  <w:style w:type="paragraph" w:styleId="BodyTextIndent3">
    <w:name w:val="Body Text Indent 3"/>
    <w:basedOn w:val="Normal"/>
    <w:link w:val="BodyTextIndent3Char"/>
    <w:rsid w:val="002757F9"/>
    <w:pPr>
      <w:spacing w:after="120" w:line="240" w:lineRule="auto"/>
      <w:ind w:left="360"/>
      <w:jc w:val="both"/>
    </w:pPr>
    <w:rPr>
      <w:rFonts w:eastAsia="Times New Roman" w:cs="Times New Roman"/>
      <w:sz w:val="16"/>
      <w:szCs w:val="16"/>
    </w:rPr>
  </w:style>
  <w:style w:type="character" w:customStyle="1" w:styleId="BodyTextIndent3Char">
    <w:name w:val="Body Text Indent 3 Char"/>
    <w:basedOn w:val="DefaultParagraphFont"/>
    <w:link w:val="BodyTextIndent3"/>
    <w:rsid w:val="002757F9"/>
    <w:rPr>
      <w:rFonts w:eastAsia="Times New Roman" w:cs="Times New Roman"/>
      <w:sz w:val="16"/>
      <w:szCs w:val="16"/>
    </w:rPr>
  </w:style>
  <w:style w:type="character" w:customStyle="1" w:styleId="cf01">
    <w:name w:val="cf01"/>
    <w:basedOn w:val="DefaultParagraphFont"/>
    <w:rsid w:val="001D3CB3"/>
    <w:rPr>
      <w:rFonts w:ascii="Segoe UI" w:hAnsi="Segoe UI" w:cs="Segoe UI" w:hint="default"/>
      <w:sz w:val="18"/>
      <w:szCs w:val="18"/>
    </w:rPr>
  </w:style>
  <w:style w:type="character" w:styleId="PlaceholderText">
    <w:name w:val="Placeholder Text"/>
    <w:basedOn w:val="DefaultParagraphFont"/>
    <w:uiPriority w:val="99"/>
    <w:semiHidden/>
    <w:rsid w:val="00B96A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8253">
      <w:bodyDiv w:val="1"/>
      <w:marLeft w:val="0"/>
      <w:marRight w:val="0"/>
      <w:marTop w:val="0"/>
      <w:marBottom w:val="0"/>
      <w:divBdr>
        <w:top w:val="none" w:sz="0" w:space="0" w:color="auto"/>
        <w:left w:val="none" w:sz="0" w:space="0" w:color="auto"/>
        <w:bottom w:val="none" w:sz="0" w:space="0" w:color="auto"/>
        <w:right w:val="none" w:sz="0" w:space="0" w:color="auto"/>
      </w:divBdr>
    </w:div>
    <w:div w:id="966163248">
      <w:bodyDiv w:val="1"/>
      <w:marLeft w:val="0"/>
      <w:marRight w:val="0"/>
      <w:marTop w:val="0"/>
      <w:marBottom w:val="0"/>
      <w:divBdr>
        <w:top w:val="none" w:sz="0" w:space="0" w:color="auto"/>
        <w:left w:val="none" w:sz="0" w:space="0" w:color="auto"/>
        <w:bottom w:val="none" w:sz="0" w:space="0" w:color="auto"/>
        <w:right w:val="none" w:sz="0" w:space="0" w:color="auto"/>
      </w:divBdr>
      <w:divsChild>
        <w:div w:id="1806194544">
          <w:marLeft w:val="0"/>
          <w:marRight w:val="0"/>
          <w:marTop w:val="0"/>
          <w:marBottom w:val="0"/>
          <w:divBdr>
            <w:top w:val="none" w:sz="0" w:space="0" w:color="auto"/>
            <w:left w:val="none" w:sz="0" w:space="0" w:color="auto"/>
            <w:bottom w:val="single" w:sz="6" w:space="8" w:color="DDDDDD"/>
            <w:right w:val="none" w:sz="0" w:space="0" w:color="auto"/>
          </w:divBdr>
        </w:div>
        <w:div w:id="1648320310">
          <w:marLeft w:val="0"/>
          <w:marRight w:val="0"/>
          <w:marTop w:val="0"/>
          <w:marBottom w:val="0"/>
          <w:divBdr>
            <w:top w:val="none" w:sz="0" w:space="0" w:color="auto"/>
            <w:left w:val="none" w:sz="0" w:space="0" w:color="auto"/>
            <w:bottom w:val="none" w:sz="0" w:space="0" w:color="auto"/>
            <w:right w:val="none" w:sz="0" w:space="0" w:color="auto"/>
          </w:divBdr>
          <w:divsChild>
            <w:div w:id="1721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4042">
      <w:bodyDiv w:val="1"/>
      <w:marLeft w:val="0"/>
      <w:marRight w:val="0"/>
      <w:marTop w:val="0"/>
      <w:marBottom w:val="0"/>
      <w:divBdr>
        <w:top w:val="none" w:sz="0" w:space="0" w:color="auto"/>
        <w:left w:val="none" w:sz="0" w:space="0" w:color="auto"/>
        <w:bottom w:val="none" w:sz="0" w:space="0" w:color="auto"/>
        <w:right w:val="none" w:sz="0" w:space="0" w:color="auto"/>
      </w:divBdr>
    </w:div>
    <w:div w:id="200385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3C640-81AE-4929-94F1-73D9C0B4DD22}">
  <ds:schemaRefs>
    <ds:schemaRef ds:uri="http://schemas.openxmlformats.org/officeDocument/2006/bibliography"/>
  </ds:schemaRefs>
</ds:datastoreItem>
</file>

<file path=customXml/itemProps2.xml><?xml version="1.0" encoding="utf-8"?>
<ds:datastoreItem xmlns:ds="http://schemas.openxmlformats.org/officeDocument/2006/customXml" ds:itemID="{022881C9-7A38-4423-AB08-05141F0717C9}"/>
</file>

<file path=customXml/itemProps3.xml><?xml version="1.0" encoding="utf-8"?>
<ds:datastoreItem xmlns:ds="http://schemas.openxmlformats.org/officeDocument/2006/customXml" ds:itemID="{9045BBAC-FEFC-4A2A-9297-84FCD74565EC}"/>
</file>

<file path=customXml/itemProps4.xml><?xml version="1.0" encoding="utf-8"?>
<ds:datastoreItem xmlns:ds="http://schemas.openxmlformats.org/officeDocument/2006/customXml" ds:itemID="{A5AFFFE4-1F8C-40C0-B571-6BC2F295929D}"/>
</file>

<file path=docProps/app.xml><?xml version="1.0" encoding="utf-8"?>
<Properties xmlns="http://schemas.openxmlformats.org/officeDocument/2006/extended-properties" xmlns:vt="http://schemas.openxmlformats.org/officeDocument/2006/docPropsVTypes">
  <Template>Normal</Template>
  <TotalTime>275</TotalTime>
  <Pages>26</Pages>
  <Words>9394</Words>
  <Characters>53546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tranhaohung.mpi@gmail.com</dc:creator>
  <cp:keywords/>
  <dc:description/>
  <cp:lastModifiedBy>Linh Hoang</cp:lastModifiedBy>
  <cp:revision>45</cp:revision>
  <cp:lastPrinted>2024-02-28T03:55:00Z</cp:lastPrinted>
  <dcterms:created xsi:type="dcterms:W3CDTF">2024-02-27T04:52:00Z</dcterms:created>
  <dcterms:modified xsi:type="dcterms:W3CDTF">2024-02-28T06:31:00Z</dcterms:modified>
</cp:coreProperties>
</file>